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807327" w:rsidRDefault="00AC0ED4">
      <w:pPr>
        <w:tabs>
          <w:tab w:val="center" w:pos="4536"/>
          <w:tab w:val="right" w:pos="9072"/>
        </w:tabs>
        <w:spacing w:before="120" w:after="120"/>
        <w:rPr>
          <w:b/>
          <w:sz w:val="24"/>
          <w:szCs w:val="24"/>
        </w:rPr>
      </w:pPr>
      <w:r>
        <w:rPr>
          <w:rFonts w:eastAsia="Batang"/>
          <w:b/>
          <w:sz w:val="24"/>
          <w:szCs w:val="24"/>
          <w:lang w:eastAsia="ja-JP"/>
        </w:rPr>
        <w:t xml:space="preserve">3GPP TSG RAN </w:t>
      </w:r>
      <w:r>
        <w:rPr>
          <w:rFonts w:eastAsia="Batang" w:hint="eastAsia"/>
          <w:b/>
          <w:sz w:val="24"/>
          <w:szCs w:val="24"/>
          <w:lang w:eastAsia="ja-JP"/>
        </w:rPr>
        <w:t>meeting #</w:t>
      </w:r>
      <w:r>
        <w:rPr>
          <w:rFonts w:hint="eastAsia"/>
          <w:b/>
          <w:sz w:val="24"/>
          <w:szCs w:val="24"/>
        </w:rPr>
        <w:t>93</w:t>
      </w:r>
      <w:r>
        <w:rPr>
          <w:rFonts w:eastAsia="Batang" w:hint="eastAsia"/>
          <w:b/>
          <w:sz w:val="24"/>
          <w:szCs w:val="24"/>
          <w:lang w:eastAsia="ja-JP"/>
        </w:rPr>
        <w:t>e</w:t>
      </w:r>
      <w:r>
        <w:rPr>
          <w:rFonts w:eastAsia="Batang"/>
          <w:b/>
          <w:sz w:val="24"/>
          <w:szCs w:val="24"/>
          <w:lang w:eastAsia="ja-JP"/>
        </w:rPr>
        <w:t xml:space="preserve"> </w:t>
      </w:r>
      <w:r>
        <w:rPr>
          <w:rFonts w:eastAsia="Batang"/>
          <w:b/>
          <w:sz w:val="24"/>
          <w:szCs w:val="24"/>
          <w:lang w:eastAsia="ja-JP"/>
        </w:rPr>
        <w:tab/>
      </w:r>
      <w:r>
        <w:rPr>
          <w:rFonts w:eastAsia="Batang"/>
          <w:b/>
          <w:sz w:val="24"/>
          <w:szCs w:val="24"/>
          <w:lang w:eastAsia="ja-JP"/>
        </w:rPr>
        <w:tab/>
      </w:r>
      <w:bookmarkStart w:id="0" w:name="OLE_LINK3"/>
      <w:r>
        <w:rPr>
          <w:rFonts w:eastAsia="Batang"/>
          <w:b/>
          <w:sz w:val="24"/>
          <w:szCs w:val="24"/>
          <w:lang w:eastAsia="ja-JP"/>
        </w:rPr>
        <w:t xml:space="preserve">    RP-212413</w:t>
      </w:r>
      <w:bookmarkEnd w:id="0"/>
    </w:p>
    <w:p w:rsidR="00807327" w:rsidRDefault="00AC0ED4">
      <w:pPr>
        <w:tabs>
          <w:tab w:val="center" w:pos="4536"/>
          <w:tab w:val="right" w:pos="9072"/>
        </w:tabs>
        <w:spacing w:before="120" w:after="120"/>
        <w:rPr>
          <w:rFonts w:eastAsia="Batang"/>
          <w:b/>
          <w:sz w:val="24"/>
          <w:szCs w:val="24"/>
          <w:lang w:eastAsia="ja-JP"/>
        </w:rPr>
      </w:pPr>
      <w:r>
        <w:rPr>
          <w:rFonts w:eastAsia="Batang"/>
          <w:b/>
          <w:sz w:val="24"/>
          <w:szCs w:val="24"/>
          <w:lang w:eastAsia="ja-JP"/>
        </w:rPr>
        <w:t xml:space="preserve">e-Meeting, </w:t>
      </w:r>
      <w:r>
        <w:rPr>
          <w:rFonts w:hint="eastAsia"/>
          <w:b/>
          <w:sz w:val="24"/>
          <w:szCs w:val="24"/>
        </w:rPr>
        <w:t>Sep</w:t>
      </w:r>
      <w:r>
        <w:rPr>
          <w:b/>
          <w:sz w:val="24"/>
          <w:szCs w:val="24"/>
        </w:rPr>
        <w:t>.</w:t>
      </w:r>
      <w:r>
        <w:rPr>
          <w:rFonts w:eastAsia="Batang"/>
          <w:b/>
          <w:sz w:val="24"/>
          <w:szCs w:val="24"/>
          <w:lang w:eastAsia="ja-JP"/>
        </w:rPr>
        <w:t xml:space="preserve"> </w:t>
      </w:r>
      <w:r>
        <w:rPr>
          <w:rFonts w:hint="eastAsia"/>
          <w:b/>
          <w:sz w:val="24"/>
          <w:szCs w:val="24"/>
        </w:rPr>
        <w:t>13</w:t>
      </w:r>
      <w:r>
        <w:rPr>
          <w:rFonts w:eastAsia="Batang"/>
          <w:b/>
          <w:sz w:val="24"/>
          <w:szCs w:val="24"/>
          <w:vertAlign w:val="superscript"/>
          <w:lang w:eastAsia="ja-JP"/>
        </w:rPr>
        <w:t>th</w:t>
      </w:r>
      <w:r>
        <w:rPr>
          <w:rFonts w:eastAsia="Batang"/>
          <w:b/>
          <w:sz w:val="24"/>
          <w:szCs w:val="24"/>
          <w:lang w:eastAsia="ja-JP"/>
        </w:rPr>
        <w:t xml:space="preserve"> – </w:t>
      </w:r>
      <w:r>
        <w:rPr>
          <w:rFonts w:hint="eastAsia"/>
          <w:b/>
          <w:sz w:val="24"/>
          <w:szCs w:val="24"/>
        </w:rPr>
        <w:t>17</w:t>
      </w:r>
      <w:r>
        <w:rPr>
          <w:rFonts w:eastAsia="Batang"/>
          <w:b/>
          <w:sz w:val="24"/>
          <w:szCs w:val="24"/>
          <w:vertAlign w:val="superscript"/>
          <w:lang w:eastAsia="ja-JP"/>
        </w:rPr>
        <w:t>th</w:t>
      </w:r>
      <w:r>
        <w:rPr>
          <w:rFonts w:eastAsia="Batang"/>
          <w:b/>
          <w:sz w:val="24"/>
          <w:szCs w:val="24"/>
          <w:lang w:eastAsia="ja-JP"/>
        </w:rPr>
        <w:t>, 2021</w:t>
      </w:r>
    </w:p>
    <w:p w:rsidR="00807327" w:rsidRDefault="00AC0ED4">
      <w:pPr>
        <w:tabs>
          <w:tab w:val="center" w:pos="4536"/>
          <w:tab w:val="right" w:pos="9072"/>
        </w:tabs>
        <w:spacing w:before="120" w:after="120"/>
        <w:rPr>
          <w:b/>
          <w:sz w:val="22"/>
          <w:szCs w:val="22"/>
        </w:rPr>
      </w:pPr>
      <w:r>
        <w:rPr>
          <w:b/>
          <w:sz w:val="22"/>
          <w:szCs w:val="22"/>
        </w:rPr>
        <w:tab/>
      </w:r>
    </w:p>
    <w:p w:rsidR="00807327" w:rsidRDefault="00AC0ED4">
      <w:pPr>
        <w:tabs>
          <w:tab w:val="left" w:pos="1985"/>
        </w:tabs>
        <w:spacing w:before="120" w:after="120" w:line="240" w:lineRule="auto"/>
        <w:ind w:left="1980" w:hanging="1980"/>
        <w:rPr>
          <w:b/>
          <w:sz w:val="22"/>
          <w:szCs w:val="22"/>
        </w:rPr>
      </w:pPr>
      <w:r>
        <w:rPr>
          <w:b/>
          <w:sz w:val="22"/>
          <w:szCs w:val="22"/>
        </w:rPr>
        <w:t xml:space="preserve">Source: </w:t>
      </w:r>
      <w:r>
        <w:rPr>
          <w:b/>
          <w:sz w:val="22"/>
          <w:szCs w:val="22"/>
        </w:rPr>
        <w:tab/>
        <w:t>ZTE, Sanechips</w:t>
      </w:r>
    </w:p>
    <w:p w:rsidR="00807327" w:rsidRDefault="00AC0ED4">
      <w:pPr>
        <w:tabs>
          <w:tab w:val="left" w:pos="1985"/>
        </w:tabs>
        <w:spacing w:before="120" w:after="120" w:line="240" w:lineRule="auto"/>
        <w:ind w:left="1980" w:hanging="1980"/>
        <w:rPr>
          <w:b/>
          <w:sz w:val="22"/>
          <w:szCs w:val="22"/>
        </w:rPr>
      </w:pPr>
      <w:r>
        <w:rPr>
          <w:b/>
          <w:sz w:val="22"/>
          <w:szCs w:val="22"/>
        </w:rPr>
        <w:t>Title:</w:t>
      </w:r>
      <w:r>
        <w:rPr>
          <w:b/>
          <w:sz w:val="22"/>
          <w:szCs w:val="22"/>
        </w:rPr>
        <w:tab/>
        <w:t>Discussion on Rel-17</w:t>
      </w:r>
      <w:r>
        <w:rPr>
          <w:rFonts w:hint="eastAsia"/>
          <w:b/>
          <w:sz w:val="22"/>
          <w:szCs w:val="22"/>
        </w:rPr>
        <w:t xml:space="preserve"> UE power saving</w:t>
      </w:r>
      <w:r>
        <w:rPr>
          <w:b/>
          <w:sz w:val="22"/>
          <w:szCs w:val="22"/>
        </w:rPr>
        <w:t xml:space="preserve"> enhancement</w:t>
      </w:r>
    </w:p>
    <w:p w:rsidR="00807327" w:rsidRDefault="00AC0ED4">
      <w:pPr>
        <w:tabs>
          <w:tab w:val="left" w:pos="1985"/>
        </w:tabs>
        <w:spacing w:before="120" w:after="120" w:line="240" w:lineRule="auto"/>
        <w:rPr>
          <w:b/>
          <w:sz w:val="22"/>
          <w:szCs w:val="22"/>
          <w:highlight w:val="yellow"/>
        </w:rPr>
      </w:pPr>
      <w:r>
        <w:rPr>
          <w:b/>
          <w:sz w:val="22"/>
          <w:szCs w:val="22"/>
          <w:lang w:val="pt-BR"/>
        </w:rPr>
        <w:t>Agenda item:</w:t>
      </w:r>
      <w:r>
        <w:rPr>
          <w:b/>
          <w:sz w:val="22"/>
          <w:szCs w:val="22"/>
          <w:lang w:val="pt-BR"/>
        </w:rPr>
        <w:tab/>
        <w:t>9.3.2.3</w:t>
      </w:r>
    </w:p>
    <w:p w:rsidR="00807327" w:rsidRDefault="00AC0ED4">
      <w:pPr>
        <w:tabs>
          <w:tab w:val="left" w:pos="1985"/>
        </w:tabs>
        <w:spacing w:before="120" w:after="120" w:line="240" w:lineRule="auto"/>
        <w:ind w:left="1980" w:hanging="1980"/>
        <w:rPr>
          <w:b/>
          <w:sz w:val="22"/>
          <w:szCs w:val="22"/>
          <w:lang w:val="pt-BR"/>
        </w:rPr>
      </w:pPr>
      <w:r>
        <w:rPr>
          <w:b/>
          <w:sz w:val="22"/>
          <w:szCs w:val="22"/>
          <w:lang w:val="pt-BR"/>
        </w:rPr>
        <w:t>Document for:</w:t>
      </w:r>
      <w:r>
        <w:rPr>
          <w:b/>
          <w:sz w:val="22"/>
          <w:szCs w:val="22"/>
          <w:lang w:val="pt-BR"/>
        </w:rPr>
        <w:tab/>
      </w:r>
      <w:r>
        <w:rPr>
          <w:b/>
          <w:sz w:val="22"/>
          <w:szCs w:val="22"/>
        </w:rPr>
        <w:t>Discussion</w:t>
      </w:r>
    </w:p>
    <w:p w:rsidR="00807327" w:rsidRDefault="00AC0ED4">
      <w:pPr>
        <w:pStyle w:val="1"/>
        <w:spacing w:before="120" w:after="120"/>
        <w:ind w:left="0"/>
        <w:rPr>
          <w:rFonts w:ascii="Times New Roman" w:eastAsia="宋体" w:hAnsi="Times New Roman"/>
          <w:b/>
          <w:bCs/>
          <w:sz w:val="24"/>
          <w:szCs w:val="24"/>
        </w:rPr>
      </w:pPr>
      <w:r>
        <w:rPr>
          <w:rFonts w:ascii="Times New Roman" w:eastAsia="宋体" w:hAnsi="Times New Roman"/>
          <w:b/>
          <w:bCs/>
          <w:sz w:val="24"/>
          <w:szCs w:val="24"/>
        </w:rPr>
        <w:t>Introduction</w:t>
      </w:r>
    </w:p>
    <w:p w:rsidR="00807327" w:rsidRPr="007E73F1" w:rsidRDefault="00AC0ED4">
      <w:pPr>
        <w:spacing w:before="120" w:after="120"/>
        <w:rPr>
          <w:szCs w:val="21"/>
        </w:rPr>
      </w:pPr>
      <w:r w:rsidRPr="007E73F1">
        <w:rPr>
          <w:szCs w:val="21"/>
        </w:rPr>
        <w:t>In RAN#8</w:t>
      </w:r>
      <w:r w:rsidRPr="007E73F1">
        <w:rPr>
          <w:rFonts w:hint="eastAsia"/>
          <w:szCs w:val="21"/>
        </w:rPr>
        <w:t>8</w:t>
      </w:r>
      <w:r w:rsidRPr="007E73F1">
        <w:rPr>
          <w:szCs w:val="21"/>
        </w:rPr>
        <w:t xml:space="preserve"> meeting, </w:t>
      </w:r>
      <w:r w:rsidRPr="007E73F1">
        <w:rPr>
          <w:rFonts w:hint="eastAsia"/>
          <w:szCs w:val="21"/>
        </w:rPr>
        <w:t xml:space="preserve">the objectives of </w:t>
      </w:r>
      <w:r w:rsidRPr="007E73F1">
        <w:rPr>
          <w:szCs w:val="21"/>
        </w:rPr>
        <w:t xml:space="preserve">paging enhancement for </w:t>
      </w:r>
      <w:r w:rsidRPr="007E73F1">
        <w:rPr>
          <w:rFonts w:hint="eastAsia"/>
          <w:szCs w:val="21"/>
        </w:rPr>
        <w:t xml:space="preserve">idle/inactive mode UE power saving </w:t>
      </w:r>
      <w:r w:rsidRPr="007E73F1">
        <w:rPr>
          <w:szCs w:val="21"/>
        </w:rPr>
        <w:t>were agreed</w:t>
      </w:r>
      <w:r w:rsidRPr="007E73F1">
        <w:rPr>
          <w:rFonts w:hint="eastAsia"/>
          <w:szCs w:val="21"/>
        </w:rPr>
        <w:t xml:space="preserve"> as follows [1]:</w:t>
      </w:r>
      <w:r w:rsidRPr="007E73F1">
        <w:rPr>
          <w:szCs w:val="21"/>
        </w:rPr>
        <w:t xml:space="preserve"> </w:t>
      </w:r>
      <w:r w:rsidRPr="007E73F1">
        <w:rPr>
          <w:rFonts w:hint="eastAsia"/>
          <w:szCs w:val="21"/>
        </w:rPr>
        <w:t xml:space="preserve"> </w:t>
      </w:r>
    </w:p>
    <w:tbl>
      <w:tblPr>
        <w:tblStyle w:val="ac"/>
        <w:tblW w:w="0" w:type="auto"/>
        <w:jc w:val="center"/>
        <w:tblLook w:val="04A0" w:firstRow="1" w:lastRow="0" w:firstColumn="1" w:lastColumn="0" w:noHBand="0" w:noVBand="1"/>
      </w:tblPr>
      <w:tblGrid>
        <w:gridCol w:w="9740"/>
      </w:tblGrid>
      <w:tr w:rsidR="00807327" w:rsidRPr="007E73F1">
        <w:trPr>
          <w:trHeight w:val="522"/>
          <w:jc w:val="center"/>
        </w:trPr>
        <w:tc>
          <w:tcPr>
            <w:tcW w:w="9740" w:type="dxa"/>
          </w:tcPr>
          <w:p w:rsidR="00807327" w:rsidRPr="007E73F1" w:rsidRDefault="00AC0ED4">
            <w:pPr>
              <w:numPr>
                <w:ilvl w:val="0"/>
                <w:numId w:val="8"/>
              </w:numPr>
              <w:overflowPunct w:val="0"/>
              <w:autoSpaceDE w:val="0"/>
              <w:autoSpaceDN w:val="0"/>
              <w:adjustRightInd w:val="0"/>
              <w:spacing w:before="120" w:after="120"/>
              <w:textAlignment w:val="baseline"/>
              <w:rPr>
                <w:rFonts w:eastAsia="PMingLiU"/>
                <w:szCs w:val="21"/>
              </w:rPr>
            </w:pPr>
            <w:r w:rsidRPr="007E73F1">
              <w:rPr>
                <w:rFonts w:eastAsia="PMingLiU"/>
                <w:szCs w:val="21"/>
              </w:rPr>
              <w:t>Specify enhancements for idle/inactive-mode UE power saving, considering system performance aspects [RAN2, RAN1]</w:t>
            </w:r>
          </w:p>
          <w:p w:rsidR="00807327" w:rsidRPr="007E73F1" w:rsidRDefault="00AC0ED4">
            <w:pPr>
              <w:numPr>
                <w:ilvl w:val="1"/>
                <w:numId w:val="8"/>
              </w:numPr>
              <w:overflowPunct w:val="0"/>
              <w:autoSpaceDE w:val="0"/>
              <w:autoSpaceDN w:val="0"/>
              <w:adjustRightInd w:val="0"/>
              <w:spacing w:before="120" w:after="120"/>
              <w:textAlignment w:val="baseline"/>
              <w:rPr>
                <w:rFonts w:eastAsia="PMingLiU"/>
                <w:szCs w:val="21"/>
              </w:rPr>
            </w:pPr>
            <w:r w:rsidRPr="007E73F1">
              <w:rPr>
                <w:rFonts w:eastAsia="PMingLiU"/>
                <w:szCs w:val="21"/>
              </w:rPr>
              <w:t>Study and specify paging enhancement(s) to reduce unnecessary UE paging receptions, subject to no impact to legacy UEs [RAN2, RAN1]</w:t>
            </w:r>
          </w:p>
          <w:p w:rsidR="00807327" w:rsidRPr="007E73F1" w:rsidRDefault="00AC0ED4">
            <w:pPr>
              <w:numPr>
                <w:ilvl w:val="0"/>
                <w:numId w:val="9"/>
              </w:numPr>
              <w:overflowPunct w:val="0"/>
              <w:autoSpaceDE w:val="0"/>
              <w:autoSpaceDN w:val="0"/>
              <w:adjustRightInd w:val="0"/>
              <w:spacing w:before="120" w:after="120"/>
              <w:textAlignment w:val="baseline"/>
              <w:rPr>
                <w:szCs w:val="21"/>
              </w:rPr>
            </w:pPr>
            <w:r w:rsidRPr="007E73F1">
              <w:rPr>
                <w:rFonts w:eastAsia="PMingLiU"/>
                <w:szCs w:val="21"/>
              </w:rPr>
              <w:t>NOTE: RAN1 to check and update, if needed, evaluation methodology in RAN1 #102-e meeting</w:t>
            </w:r>
          </w:p>
        </w:tc>
      </w:tr>
    </w:tbl>
    <w:p w:rsidR="00807327" w:rsidRPr="007E73F1" w:rsidRDefault="00AC0ED4">
      <w:pPr>
        <w:spacing w:before="120" w:after="120"/>
        <w:rPr>
          <w:szCs w:val="21"/>
        </w:rPr>
      </w:pPr>
      <w:r w:rsidRPr="007E73F1">
        <w:rPr>
          <w:szCs w:val="21"/>
        </w:rPr>
        <w:t>According to the discussion in RAN1-#106e meeting, the conclusions of PEI design can be found as below</w:t>
      </w:r>
      <w:r w:rsidRPr="007E73F1">
        <w:rPr>
          <w:rFonts w:hint="eastAsia"/>
          <w:szCs w:val="21"/>
        </w:rPr>
        <w:t xml:space="preserve"> [2]</w:t>
      </w:r>
      <w:r w:rsidRPr="007E73F1">
        <w:rPr>
          <w:szCs w:val="21"/>
        </w:rPr>
        <w:t>.</w:t>
      </w:r>
    </w:p>
    <w:tbl>
      <w:tblPr>
        <w:tblStyle w:val="ac"/>
        <w:tblW w:w="0" w:type="auto"/>
        <w:tblLook w:val="04A0" w:firstRow="1" w:lastRow="0" w:firstColumn="1" w:lastColumn="0" w:noHBand="0" w:noVBand="1"/>
      </w:tblPr>
      <w:tblGrid>
        <w:gridCol w:w="9876"/>
      </w:tblGrid>
      <w:tr w:rsidR="00807327" w:rsidRPr="007E73F1">
        <w:tc>
          <w:tcPr>
            <w:tcW w:w="9876" w:type="dxa"/>
          </w:tcPr>
          <w:p w:rsidR="00807327" w:rsidRPr="007E73F1" w:rsidRDefault="00AC0ED4">
            <w:pPr>
              <w:spacing w:before="120" w:after="120"/>
              <w:rPr>
                <w:szCs w:val="21"/>
              </w:rPr>
            </w:pPr>
            <w:r w:rsidRPr="007E73F1">
              <w:rPr>
                <w:szCs w:val="21"/>
              </w:rPr>
              <w:t>Conclusion</w:t>
            </w:r>
          </w:p>
          <w:p w:rsidR="00807327" w:rsidRPr="007E73F1" w:rsidRDefault="00AC0ED4">
            <w:pPr>
              <w:spacing w:before="120" w:after="120"/>
              <w:rPr>
                <w:szCs w:val="21"/>
              </w:rPr>
            </w:pPr>
            <w:r w:rsidRPr="007E73F1">
              <w:rPr>
                <w:szCs w:val="21"/>
              </w:rPr>
              <w:t>To down-select one solution for PEI physical-layer channel/signal in RAN1 #106-e,</w:t>
            </w:r>
          </w:p>
          <w:p w:rsidR="00807327" w:rsidRPr="007E73F1" w:rsidRDefault="00AC0ED4">
            <w:pPr>
              <w:pStyle w:val="af1"/>
              <w:numPr>
                <w:ilvl w:val="0"/>
                <w:numId w:val="10"/>
              </w:numPr>
              <w:spacing w:after="120"/>
              <w:rPr>
                <w:sz w:val="21"/>
                <w:szCs w:val="21"/>
              </w:rPr>
            </w:pPr>
            <w:r w:rsidRPr="007E73F1">
              <w:rPr>
                <w:rFonts w:hint="eastAsia"/>
                <w:sz w:val="21"/>
                <w:szCs w:val="21"/>
              </w:rPr>
              <w:t>PDCCH-based PEI</w:t>
            </w:r>
          </w:p>
          <w:p w:rsidR="00807327" w:rsidRPr="007E73F1" w:rsidRDefault="00AC0ED4">
            <w:pPr>
              <w:pStyle w:val="af1"/>
              <w:numPr>
                <w:ilvl w:val="0"/>
                <w:numId w:val="10"/>
              </w:numPr>
              <w:spacing w:after="120"/>
              <w:rPr>
                <w:sz w:val="21"/>
                <w:szCs w:val="21"/>
              </w:rPr>
            </w:pPr>
            <w:r w:rsidRPr="007E73F1">
              <w:rPr>
                <w:rFonts w:hint="eastAsia"/>
                <w:sz w:val="21"/>
                <w:szCs w:val="21"/>
              </w:rPr>
              <w:t>SSS-based PEI</w:t>
            </w:r>
          </w:p>
          <w:p w:rsidR="00807327" w:rsidRPr="007E73F1" w:rsidRDefault="00807327">
            <w:pPr>
              <w:pStyle w:val="af1"/>
              <w:spacing w:after="120"/>
              <w:rPr>
                <w:sz w:val="21"/>
                <w:szCs w:val="21"/>
              </w:rPr>
            </w:pPr>
          </w:p>
          <w:p w:rsidR="00807327" w:rsidRPr="007E73F1" w:rsidRDefault="00AC0ED4">
            <w:pPr>
              <w:spacing w:before="120" w:after="120"/>
              <w:rPr>
                <w:rFonts w:eastAsia="等线"/>
                <w:szCs w:val="21"/>
              </w:rPr>
            </w:pPr>
            <w:r w:rsidRPr="007E73F1">
              <w:rPr>
                <w:rFonts w:eastAsia="等线"/>
                <w:szCs w:val="21"/>
              </w:rPr>
              <w:t xml:space="preserve">Proposed </w:t>
            </w:r>
            <w:r w:rsidRPr="007E73F1">
              <w:rPr>
                <w:rFonts w:eastAsia="等线" w:hint="eastAsia"/>
                <w:szCs w:val="21"/>
              </w:rPr>
              <w:t>W</w:t>
            </w:r>
            <w:r w:rsidRPr="007E73F1">
              <w:rPr>
                <w:rFonts w:eastAsia="等线"/>
                <w:szCs w:val="21"/>
              </w:rPr>
              <w:t>orking Assumption</w:t>
            </w:r>
          </w:p>
          <w:p w:rsidR="00807327" w:rsidRPr="007E73F1" w:rsidRDefault="00AC0ED4">
            <w:pPr>
              <w:pStyle w:val="af1"/>
              <w:numPr>
                <w:ilvl w:val="0"/>
                <w:numId w:val="10"/>
              </w:numPr>
              <w:spacing w:after="120"/>
              <w:rPr>
                <w:sz w:val="21"/>
                <w:szCs w:val="21"/>
              </w:rPr>
            </w:pPr>
            <w:r w:rsidRPr="007E73F1">
              <w:rPr>
                <w:rFonts w:hint="eastAsia"/>
                <w:sz w:val="21"/>
                <w:szCs w:val="21"/>
              </w:rPr>
              <w:t>PDCCH-based PEI</w:t>
            </w:r>
          </w:p>
          <w:p w:rsidR="00807327" w:rsidRPr="007E73F1" w:rsidRDefault="00AC0ED4">
            <w:pPr>
              <w:spacing w:before="120" w:after="120"/>
              <w:rPr>
                <w:szCs w:val="21"/>
              </w:rPr>
            </w:pPr>
            <w:r w:rsidRPr="007E73F1">
              <w:rPr>
                <w:rFonts w:eastAsia="等线"/>
                <w:szCs w:val="21"/>
              </w:rPr>
              <w:t>Supported by 20 companies, but can not be accepted by 3 companies, i.e., Intel, CATT, Sony.</w:t>
            </w:r>
          </w:p>
        </w:tc>
      </w:tr>
    </w:tbl>
    <w:p w:rsidR="00807327" w:rsidRDefault="00807327">
      <w:pPr>
        <w:spacing w:before="120" w:after="120"/>
        <w:rPr>
          <w:sz w:val="22"/>
          <w:szCs w:val="22"/>
        </w:rPr>
      </w:pPr>
    </w:p>
    <w:p w:rsidR="00807327" w:rsidRDefault="00AC0ED4">
      <w:pPr>
        <w:spacing w:before="120" w:after="120"/>
      </w:pPr>
      <w:r>
        <w:t>In this contribution, the candidate of PEI</w:t>
      </w:r>
      <w:r w:rsidR="007E73F1">
        <w:t xml:space="preserve"> </w:t>
      </w:r>
      <w:r w:rsidR="007E73F1">
        <w:rPr>
          <w:rFonts w:hint="eastAsia"/>
          <w:szCs w:val="21"/>
        </w:rPr>
        <w:t>(</w:t>
      </w:r>
      <w:r w:rsidR="007E73F1">
        <w:rPr>
          <w:szCs w:val="21"/>
        </w:rPr>
        <w:t>paging early indication</w:t>
      </w:r>
      <w:r w:rsidR="007E73F1">
        <w:rPr>
          <w:rFonts w:hint="eastAsia"/>
          <w:szCs w:val="21"/>
        </w:rPr>
        <w:t>)</w:t>
      </w:r>
      <w:r>
        <w:t xml:space="preserve"> design </w:t>
      </w:r>
      <w:r w:rsidR="007E73F1">
        <w:t>and the TU for RAN3 are</w:t>
      </w:r>
      <w:r>
        <w:t xml:space="preserve"> discussed.</w:t>
      </w:r>
    </w:p>
    <w:p w:rsidR="00807327" w:rsidRDefault="00AC0ED4">
      <w:pPr>
        <w:pStyle w:val="1"/>
        <w:spacing w:before="120" w:after="120"/>
        <w:ind w:left="0"/>
        <w:rPr>
          <w:rFonts w:ascii="Times New Roman" w:hAnsi="Times New Roman"/>
          <w:sz w:val="20"/>
          <w:szCs w:val="21"/>
        </w:rPr>
      </w:pPr>
      <w:r>
        <w:rPr>
          <w:rFonts w:ascii="Times New Roman" w:hAnsi="Times New Roman"/>
          <w:b/>
          <w:sz w:val="24"/>
          <w:szCs w:val="24"/>
        </w:rPr>
        <w:t>Discussion</w:t>
      </w:r>
      <w:r>
        <w:rPr>
          <w:rFonts w:ascii="Times New Roman" w:hAnsi="Times New Roman" w:hint="eastAsia"/>
          <w:b/>
          <w:sz w:val="24"/>
          <w:szCs w:val="24"/>
        </w:rPr>
        <w:t xml:space="preserve"> on paging enhancement</w:t>
      </w:r>
    </w:p>
    <w:p w:rsidR="00807327" w:rsidRDefault="00AC0ED4">
      <w:pPr>
        <w:spacing w:before="120" w:after="120" w:line="260" w:lineRule="auto"/>
        <w:rPr>
          <w:szCs w:val="21"/>
        </w:rPr>
      </w:pPr>
      <w:r>
        <w:rPr>
          <w:szCs w:val="21"/>
        </w:rPr>
        <w:t xml:space="preserve">In RRC idle/inactive mode, </w:t>
      </w:r>
      <w:r>
        <w:rPr>
          <w:rFonts w:hint="eastAsia"/>
          <w:szCs w:val="21"/>
        </w:rPr>
        <w:t xml:space="preserve">UE needs to monitor paging occasions (PO) to detect the potential system information change notifications and paging message. Furthermore, the UE should perform SSB processing </w:t>
      </w:r>
      <w:r>
        <w:rPr>
          <w:szCs w:val="21"/>
        </w:rPr>
        <w:t>to</w:t>
      </w:r>
      <w:r>
        <w:rPr>
          <w:rFonts w:hint="eastAsia"/>
          <w:szCs w:val="21"/>
        </w:rPr>
        <w:t xml:space="preserve"> adjust AGC, correct time/frequency offset, </w:t>
      </w:r>
      <w:r>
        <w:rPr>
          <w:szCs w:val="21"/>
        </w:rPr>
        <w:t>and perform</w:t>
      </w:r>
      <w:r>
        <w:rPr>
          <w:rFonts w:hint="eastAsia"/>
          <w:szCs w:val="21"/>
        </w:rPr>
        <w:t xml:space="preserve"> intra</w:t>
      </w:r>
      <w:r>
        <w:rPr>
          <w:szCs w:val="21"/>
        </w:rPr>
        <w:t>/</w:t>
      </w:r>
      <w:r w:rsidR="007E73F1">
        <w:rPr>
          <w:rFonts w:hint="eastAsia"/>
          <w:szCs w:val="21"/>
        </w:rPr>
        <w:t>inter</w:t>
      </w:r>
      <w:r>
        <w:rPr>
          <w:rFonts w:hint="eastAsia"/>
          <w:szCs w:val="21"/>
        </w:rPr>
        <w:t>-frequency measurement</w:t>
      </w:r>
      <w:r>
        <w:rPr>
          <w:szCs w:val="21"/>
        </w:rPr>
        <w:t>.</w:t>
      </w:r>
      <w:r>
        <w:rPr>
          <w:rFonts w:hint="eastAsia"/>
          <w:szCs w:val="21"/>
        </w:rPr>
        <w:t xml:space="preserve"> According to the contribution in [3], NR idle-mode power consumption can be 75% higher than that of LTE, which is shown in Figure 1.</w:t>
      </w:r>
    </w:p>
    <w:p w:rsidR="00807327" w:rsidRDefault="00AC0ED4">
      <w:pPr>
        <w:spacing w:before="120" w:after="120" w:line="260" w:lineRule="auto"/>
        <w:jc w:val="center"/>
        <w:rPr>
          <w:szCs w:val="21"/>
          <w:lang w:eastAsia="zh-TW"/>
        </w:rPr>
      </w:pPr>
      <w:r>
        <w:rPr>
          <w:noProof/>
          <w:szCs w:val="21"/>
        </w:rPr>
        <w:lastRenderedPageBreak/>
        <w:drawing>
          <wp:inline distT="0" distB="0" distL="0" distR="0">
            <wp:extent cx="5287010" cy="1512570"/>
            <wp:effectExtent l="0" t="0" r="8890" b="11430"/>
            <wp:docPr id="3"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8"/>
                    <pic:cNvPicPr>
                      <a:picLocks noChangeAspect="1"/>
                    </pic:cNvPicPr>
                  </pic:nvPicPr>
                  <pic:blipFill>
                    <a:blip r:embed="rId9"/>
                    <a:stretch>
                      <a:fillRect/>
                    </a:stretch>
                  </pic:blipFill>
                  <pic:spPr>
                    <a:xfrm>
                      <a:off x="0" y="0"/>
                      <a:ext cx="5287010" cy="1512570"/>
                    </a:xfrm>
                    <a:prstGeom prst="rect">
                      <a:avLst/>
                    </a:prstGeom>
                  </pic:spPr>
                </pic:pic>
              </a:graphicData>
            </a:graphic>
          </wp:inline>
        </w:drawing>
      </w:r>
    </w:p>
    <w:p w:rsidR="00807327" w:rsidRDefault="00AC0ED4">
      <w:pPr>
        <w:spacing w:before="120" w:after="120" w:line="260" w:lineRule="auto"/>
        <w:jc w:val="center"/>
        <w:rPr>
          <w:szCs w:val="21"/>
        </w:rPr>
      </w:pPr>
      <w:r>
        <w:rPr>
          <w:rFonts w:hint="eastAsia"/>
          <w:szCs w:val="21"/>
        </w:rPr>
        <w:t xml:space="preserve">Figure 1 Idle-mode power consumption comparison between LTE and NR </w:t>
      </w:r>
    </w:p>
    <w:p w:rsidR="00807327" w:rsidRDefault="00807327">
      <w:pPr>
        <w:spacing w:before="120" w:after="120" w:line="260" w:lineRule="auto"/>
        <w:rPr>
          <w:szCs w:val="21"/>
        </w:rPr>
      </w:pPr>
    </w:p>
    <w:p w:rsidR="00807327" w:rsidRDefault="00AC0ED4">
      <w:pPr>
        <w:pStyle w:val="YJ-Observation"/>
        <w:spacing w:before="120" w:after="120"/>
        <w:jc w:val="both"/>
        <w:rPr>
          <w:i w:val="0"/>
          <w:iCs w:val="0"/>
          <w:sz w:val="21"/>
          <w:szCs w:val="21"/>
          <w:lang w:val="en-US" w:eastAsia="zh-CN"/>
        </w:rPr>
      </w:pPr>
      <w:bookmarkStart w:id="1" w:name="_Toc10534"/>
      <w:bookmarkStart w:id="2" w:name="_Toc3460"/>
      <w:r>
        <w:rPr>
          <w:rFonts w:hint="eastAsia"/>
          <w:i w:val="0"/>
          <w:iCs w:val="0"/>
          <w:sz w:val="21"/>
          <w:szCs w:val="21"/>
          <w:lang w:val="en-US" w:eastAsia="zh-CN"/>
        </w:rPr>
        <w:t xml:space="preserve">Based on the comparison </w:t>
      </w:r>
      <w:r>
        <w:rPr>
          <w:i w:val="0"/>
          <w:iCs w:val="0"/>
          <w:sz w:val="21"/>
          <w:szCs w:val="21"/>
          <w:lang w:val="en-US" w:eastAsia="zh-CN"/>
        </w:rPr>
        <w:t xml:space="preserve">of idle-mode </w:t>
      </w:r>
      <w:r>
        <w:rPr>
          <w:rFonts w:hint="eastAsia"/>
          <w:i w:val="0"/>
          <w:iCs w:val="0"/>
          <w:sz w:val="21"/>
          <w:szCs w:val="21"/>
          <w:lang w:val="en-US" w:eastAsia="zh-CN"/>
        </w:rPr>
        <w:t xml:space="preserve">power consumption between </w:t>
      </w:r>
      <w:r>
        <w:rPr>
          <w:i w:val="0"/>
          <w:iCs w:val="0"/>
          <w:sz w:val="21"/>
          <w:szCs w:val="21"/>
          <w:lang w:val="en-US" w:eastAsia="zh-CN"/>
        </w:rPr>
        <w:t xml:space="preserve">NR </w:t>
      </w:r>
      <w:r>
        <w:rPr>
          <w:rFonts w:hint="eastAsia"/>
          <w:i w:val="0"/>
          <w:iCs w:val="0"/>
          <w:sz w:val="21"/>
          <w:szCs w:val="21"/>
          <w:lang w:val="en-US" w:eastAsia="zh-CN"/>
        </w:rPr>
        <w:t xml:space="preserve">and LTE, it is necessary to </w:t>
      </w:r>
      <w:r>
        <w:rPr>
          <w:i w:val="0"/>
          <w:iCs w:val="0"/>
          <w:sz w:val="21"/>
          <w:szCs w:val="21"/>
          <w:lang w:val="en-US" w:eastAsia="zh-CN"/>
        </w:rPr>
        <w:t>enhance</w:t>
      </w:r>
      <w:r>
        <w:rPr>
          <w:rFonts w:hint="eastAsia"/>
          <w:i w:val="0"/>
          <w:iCs w:val="0"/>
          <w:sz w:val="21"/>
          <w:szCs w:val="21"/>
          <w:lang w:val="en-US" w:eastAsia="zh-CN"/>
        </w:rPr>
        <w:t xml:space="preserve"> paging </w:t>
      </w:r>
      <w:r>
        <w:rPr>
          <w:i w:val="0"/>
          <w:iCs w:val="0"/>
          <w:sz w:val="21"/>
          <w:szCs w:val="21"/>
          <w:lang w:val="en-US" w:eastAsia="zh-CN"/>
        </w:rPr>
        <w:t>reception</w:t>
      </w:r>
      <w:r>
        <w:rPr>
          <w:rFonts w:hint="eastAsia"/>
          <w:i w:val="0"/>
          <w:iCs w:val="0"/>
          <w:sz w:val="21"/>
          <w:szCs w:val="21"/>
          <w:lang w:val="en-US" w:eastAsia="zh-CN"/>
        </w:rPr>
        <w:t xml:space="preserve"> </w:t>
      </w:r>
      <w:r>
        <w:rPr>
          <w:i w:val="0"/>
          <w:iCs w:val="0"/>
          <w:sz w:val="21"/>
          <w:szCs w:val="21"/>
          <w:lang w:val="en-US" w:eastAsia="zh-CN"/>
        </w:rPr>
        <w:t xml:space="preserve">for </w:t>
      </w:r>
      <w:r>
        <w:rPr>
          <w:rFonts w:hint="eastAsia"/>
          <w:i w:val="0"/>
          <w:iCs w:val="0"/>
          <w:sz w:val="21"/>
          <w:szCs w:val="21"/>
          <w:lang w:val="en-US" w:eastAsia="zh-CN"/>
        </w:rPr>
        <w:t>idle</w:t>
      </w:r>
      <w:r>
        <w:rPr>
          <w:i w:val="0"/>
          <w:iCs w:val="0"/>
          <w:sz w:val="21"/>
          <w:szCs w:val="21"/>
          <w:lang w:val="en-US" w:eastAsia="zh-CN"/>
        </w:rPr>
        <w:t>/inactive</w:t>
      </w:r>
      <w:r>
        <w:rPr>
          <w:rFonts w:hint="eastAsia"/>
          <w:i w:val="0"/>
          <w:iCs w:val="0"/>
          <w:sz w:val="21"/>
          <w:szCs w:val="21"/>
          <w:lang w:val="en-US" w:eastAsia="zh-CN"/>
        </w:rPr>
        <w:t xml:space="preserve"> </w:t>
      </w:r>
      <w:r>
        <w:rPr>
          <w:i w:val="0"/>
          <w:iCs w:val="0"/>
          <w:sz w:val="21"/>
          <w:szCs w:val="21"/>
          <w:lang w:val="en-US" w:eastAsia="zh-CN"/>
        </w:rPr>
        <w:t>mode UE power saving in NR</w:t>
      </w:r>
      <w:r>
        <w:rPr>
          <w:rFonts w:hint="eastAsia"/>
          <w:i w:val="0"/>
          <w:iCs w:val="0"/>
          <w:sz w:val="21"/>
          <w:szCs w:val="21"/>
          <w:lang w:val="en-US" w:eastAsia="zh-CN"/>
        </w:rPr>
        <w:t>.</w:t>
      </w:r>
      <w:bookmarkEnd w:id="1"/>
      <w:bookmarkEnd w:id="2"/>
      <w:r>
        <w:rPr>
          <w:rFonts w:hint="eastAsia"/>
          <w:i w:val="0"/>
          <w:iCs w:val="0"/>
          <w:sz w:val="21"/>
          <w:szCs w:val="21"/>
          <w:lang w:val="en-US" w:eastAsia="zh-CN"/>
        </w:rPr>
        <w:t xml:space="preserve"> </w:t>
      </w:r>
    </w:p>
    <w:p w:rsidR="00807327" w:rsidRDefault="00AC0ED4">
      <w:pPr>
        <w:spacing w:before="120" w:after="120" w:line="260" w:lineRule="auto"/>
      </w:pPr>
      <w:r>
        <w:rPr>
          <w:rFonts w:hint="eastAsia"/>
          <w:szCs w:val="21"/>
        </w:rPr>
        <w:t xml:space="preserve">The main </w:t>
      </w:r>
      <w:r>
        <w:rPr>
          <w:szCs w:val="21"/>
        </w:rPr>
        <w:t xml:space="preserve">contributor to the </w:t>
      </w:r>
      <w:r>
        <w:rPr>
          <w:rFonts w:hint="eastAsia"/>
          <w:szCs w:val="21"/>
        </w:rPr>
        <w:t>power consumption of NR idle</w:t>
      </w:r>
      <w:r>
        <w:rPr>
          <w:szCs w:val="21"/>
        </w:rPr>
        <w:t>/inactive</w:t>
      </w:r>
      <w:r>
        <w:rPr>
          <w:rFonts w:hint="eastAsia"/>
          <w:szCs w:val="21"/>
        </w:rPr>
        <w:t xml:space="preserve"> mode UE is </w:t>
      </w:r>
      <w:r>
        <w:rPr>
          <w:szCs w:val="21"/>
        </w:rPr>
        <w:t xml:space="preserve">the </w:t>
      </w:r>
      <w:r>
        <w:rPr>
          <w:rFonts w:hint="eastAsia"/>
          <w:szCs w:val="21"/>
        </w:rPr>
        <w:t>unnecessary PO reception and SSB processing</w:t>
      </w:r>
      <w:r>
        <w:rPr>
          <w:szCs w:val="21"/>
        </w:rPr>
        <w:t xml:space="preserve"> when UE is not paged</w:t>
      </w:r>
      <w:r>
        <w:rPr>
          <w:rFonts w:hint="eastAsia"/>
          <w:szCs w:val="21"/>
        </w:rPr>
        <w:t>. Therefore,</w:t>
      </w:r>
      <w:r>
        <w:rPr>
          <w:szCs w:val="21"/>
        </w:rPr>
        <w:t xml:space="preserve"> PEI and paging sub-grouping were agreed to</w:t>
      </w:r>
      <w:r>
        <w:rPr>
          <w:rFonts w:hint="eastAsia"/>
          <w:szCs w:val="21"/>
        </w:rPr>
        <w:t xml:space="preserve"> reduce the unnecessary PO reception and SSB processing. </w:t>
      </w:r>
      <w:r>
        <w:rPr>
          <w:szCs w:val="21"/>
        </w:rPr>
        <w:t>The corresponding RAN1 agreements are copied as below.</w:t>
      </w:r>
    </w:p>
    <w:tbl>
      <w:tblPr>
        <w:tblStyle w:val="ac"/>
        <w:tblW w:w="0" w:type="auto"/>
        <w:jc w:val="center"/>
        <w:tblLook w:val="04A0" w:firstRow="1" w:lastRow="0" w:firstColumn="1" w:lastColumn="0" w:noHBand="0" w:noVBand="1"/>
      </w:tblPr>
      <w:tblGrid>
        <w:gridCol w:w="9700"/>
      </w:tblGrid>
      <w:tr w:rsidR="00807327">
        <w:trPr>
          <w:trHeight w:val="2047"/>
          <w:jc w:val="center"/>
        </w:trPr>
        <w:tc>
          <w:tcPr>
            <w:tcW w:w="9700" w:type="dxa"/>
          </w:tcPr>
          <w:p w:rsidR="00807327" w:rsidRDefault="00AC0ED4">
            <w:pPr>
              <w:spacing w:before="120" w:after="120"/>
              <w:rPr>
                <w:sz w:val="20"/>
                <w:highlight w:val="green"/>
              </w:rPr>
            </w:pPr>
            <w:r>
              <w:rPr>
                <w:sz w:val="20"/>
                <w:highlight w:val="green"/>
              </w:rPr>
              <w:t xml:space="preserve">Agreements in RAN1#103: </w:t>
            </w:r>
          </w:p>
          <w:p w:rsidR="00807327" w:rsidRDefault="00AC0ED4">
            <w:pPr>
              <w:spacing w:before="120" w:after="120"/>
            </w:pPr>
            <w:r>
              <w:t>For NR idle/inactive-mode paging enhancement, paging early indication before paging occasion is supported from RAN1 perspective</w:t>
            </w:r>
          </w:p>
          <w:p w:rsidR="00807327" w:rsidRDefault="00AC0ED4">
            <w:pPr>
              <w:numPr>
                <w:ilvl w:val="0"/>
                <w:numId w:val="11"/>
              </w:numPr>
              <w:spacing w:before="120" w:after="120"/>
            </w:pPr>
            <w:r>
              <w:t xml:space="preserve">FFS: Physical layer design based on DCI, SSS or TRS/CSI-RS </w:t>
            </w:r>
          </w:p>
          <w:p w:rsidR="00807327" w:rsidRDefault="00AC0ED4">
            <w:pPr>
              <w:numPr>
                <w:ilvl w:val="0"/>
                <w:numId w:val="11"/>
              </w:numPr>
              <w:spacing w:before="120" w:after="120"/>
              <w:rPr>
                <w:szCs w:val="21"/>
              </w:rPr>
            </w:pPr>
            <w:r>
              <w:t>Send LS to inform RAN2 and kindly ask RAN2 to inform RAN1 if there is anything that RAN1 should take into consideration in the physical layer design for this feature, including any other progress RAN2 has made in this WI which may has RAN1 impact</w:t>
            </w:r>
          </w:p>
        </w:tc>
      </w:tr>
      <w:tr w:rsidR="00807327">
        <w:trPr>
          <w:trHeight w:val="699"/>
          <w:jc w:val="center"/>
        </w:trPr>
        <w:tc>
          <w:tcPr>
            <w:tcW w:w="9700" w:type="dxa"/>
          </w:tcPr>
          <w:p w:rsidR="00807327" w:rsidRDefault="00AC0ED4">
            <w:pPr>
              <w:spacing w:before="120" w:after="120"/>
              <w:rPr>
                <w:kern w:val="0"/>
                <w:sz w:val="20"/>
                <w:highlight w:val="green"/>
              </w:rPr>
            </w:pPr>
            <w:r>
              <w:rPr>
                <w:sz w:val="20"/>
                <w:highlight w:val="green"/>
              </w:rPr>
              <w:t>Agreements in RAN1-#105:</w:t>
            </w:r>
          </w:p>
          <w:p w:rsidR="00807327" w:rsidRDefault="00AC0ED4">
            <w:pPr>
              <w:spacing w:before="120" w:after="120"/>
              <w:rPr>
                <w:sz w:val="20"/>
              </w:rPr>
            </w:pPr>
            <w:r>
              <w:rPr>
                <w:sz w:val="20"/>
              </w:rPr>
              <w:t>For UE subgroups indication in physical layer, maximum of 8 subgroups per PO is supported.</w:t>
            </w:r>
          </w:p>
        </w:tc>
      </w:tr>
    </w:tbl>
    <w:p w:rsidR="00807327" w:rsidRDefault="00AC0ED4">
      <w:pPr>
        <w:pStyle w:val="YJ-Observation"/>
        <w:spacing w:before="120" w:after="120"/>
        <w:jc w:val="both"/>
      </w:pPr>
      <w:bookmarkStart w:id="3" w:name="_Toc9983"/>
      <w:bookmarkStart w:id="4" w:name="_Toc3051"/>
      <w:r>
        <w:rPr>
          <w:i w:val="0"/>
          <w:iCs w:val="0"/>
        </w:rPr>
        <w:t>It has been agreed in RAN1 to introduce PEI and paging sub</w:t>
      </w:r>
      <w:r>
        <w:rPr>
          <w:rFonts w:hint="eastAsia"/>
          <w:i w:val="0"/>
          <w:iCs w:val="0"/>
          <w:lang w:val="en-US" w:eastAsia="zh-CN"/>
        </w:rPr>
        <w:t>-</w:t>
      </w:r>
      <w:r>
        <w:rPr>
          <w:i w:val="0"/>
          <w:iCs w:val="0"/>
        </w:rPr>
        <w:t>grouping for paging enhancement.</w:t>
      </w:r>
      <w:r>
        <w:rPr>
          <w:rFonts w:hint="eastAsia"/>
          <w:i w:val="0"/>
          <w:iCs w:val="0"/>
        </w:rPr>
        <w:t xml:space="preserve"> </w:t>
      </w:r>
      <w:r>
        <w:rPr>
          <w:i w:val="0"/>
          <w:iCs w:val="0"/>
        </w:rPr>
        <w:t>If PEI is not introduced, RAN1 agreements will be reverted.</w:t>
      </w:r>
      <w:bookmarkEnd w:id="3"/>
      <w:bookmarkEnd w:id="4"/>
    </w:p>
    <w:p w:rsidR="00807327" w:rsidRDefault="00AC0ED4">
      <w:pPr>
        <w:spacing w:before="120" w:after="120" w:line="260" w:lineRule="auto"/>
      </w:pPr>
      <w:r>
        <w:t>Moreover</w:t>
      </w:r>
      <w:r>
        <w:rPr>
          <w:rFonts w:hint="eastAsia"/>
        </w:rPr>
        <w:t xml:space="preserve">, </w:t>
      </w:r>
      <w:r>
        <w:t>if</w:t>
      </w:r>
      <w:r>
        <w:rPr>
          <w:rFonts w:hint="eastAsia"/>
        </w:rPr>
        <w:t xml:space="preserve"> PEI is not </w:t>
      </w:r>
      <w:r>
        <w:t>supported</w:t>
      </w:r>
      <w:r>
        <w:rPr>
          <w:rFonts w:hint="eastAsia"/>
        </w:rPr>
        <w:t>, sub-grouping information can be only carried by paging DCI</w:t>
      </w:r>
      <w:r>
        <w:t>. However,</w:t>
      </w:r>
      <w:r>
        <w:rPr>
          <w:rFonts w:hint="eastAsia"/>
        </w:rPr>
        <w:t xml:space="preserve"> according to the</w:t>
      </w:r>
      <w:r>
        <w:t xml:space="preserve"> following observation of </w:t>
      </w:r>
      <w:r>
        <w:rPr>
          <w:rFonts w:hint="eastAsia"/>
        </w:rPr>
        <w:t>power saving gain summarized in RAN</w:t>
      </w:r>
      <w:r>
        <w:t>1</w:t>
      </w:r>
      <w:r>
        <w:rPr>
          <w:rFonts w:hint="eastAsia"/>
        </w:rPr>
        <w:t xml:space="preserve">#103-e meeting [4], the power saving gain of </w:t>
      </w:r>
      <w:r>
        <w:rPr>
          <w:rFonts w:eastAsia="Calibri"/>
        </w:rPr>
        <w:t xml:space="preserve">UE sub-grouping indication via paging DCI </w:t>
      </w:r>
      <w:r>
        <w:rPr>
          <w:rFonts w:hint="eastAsia"/>
        </w:rPr>
        <w:t>is marginal.</w:t>
      </w:r>
    </w:p>
    <w:tbl>
      <w:tblPr>
        <w:tblStyle w:val="ac"/>
        <w:tblW w:w="0" w:type="auto"/>
        <w:jc w:val="center"/>
        <w:tblLook w:val="04A0" w:firstRow="1" w:lastRow="0" w:firstColumn="1" w:lastColumn="0" w:noHBand="0" w:noVBand="1"/>
      </w:tblPr>
      <w:tblGrid>
        <w:gridCol w:w="9700"/>
      </w:tblGrid>
      <w:tr w:rsidR="00807327">
        <w:trPr>
          <w:trHeight w:val="512"/>
          <w:jc w:val="center"/>
        </w:trPr>
        <w:tc>
          <w:tcPr>
            <w:tcW w:w="9700" w:type="dxa"/>
          </w:tcPr>
          <w:p w:rsidR="00807327" w:rsidRDefault="00AC0ED4">
            <w:pPr>
              <w:spacing w:beforeLines="0" w:before="0" w:afterLines="0" w:after="0"/>
              <w:rPr>
                <w:szCs w:val="21"/>
                <w:highlight w:val="green"/>
              </w:rPr>
            </w:pPr>
            <w:r>
              <w:rPr>
                <w:szCs w:val="21"/>
                <w:highlight w:val="green"/>
              </w:rPr>
              <w:t>Agreements:</w:t>
            </w:r>
          </w:p>
          <w:p w:rsidR="00807327" w:rsidRDefault="00AC0ED4">
            <w:pPr>
              <w:spacing w:beforeLines="0" w:before="0" w:afterLines="0" w:after="0"/>
              <w:rPr>
                <w:rFonts w:eastAsia="Calibri"/>
                <w:szCs w:val="21"/>
              </w:rPr>
            </w:pPr>
            <w:r>
              <w:rPr>
                <w:rFonts w:eastAsia="Calibri"/>
                <w:szCs w:val="21"/>
              </w:rPr>
              <w:t>Observation: For NR idle/inactive-mode UEs, UE sub-grouping indication within a PO can provide the following power saving gains w.r.t. Rel-16:</w:t>
            </w:r>
          </w:p>
          <w:p w:rsidR="00807327" w:rsidRDefault="00AC0ED4">
            <w:pPr>
              <w:numPr>
                <w:ilvl w:val="0"/>
                <w:numId w:val="12"/>
              </w:numPr>
              <w:spacing w:beforeLines="0" w:before="0" w:afterLines="0" w:after="0"/>
              <w:rPr>
                <w:szCs w:val="21"/>
              </w:rPr>
            </w:pPr>
            <w:r>
              <w:rPr>
                <w:szCs w:val="21"/>
              </w:rPr>
              <w:t xml:space="preserve">If the original group paging rate is 10%: </w:t>
            </w:r>
          </w:p>
          <w:p w:rsidR="00807327" w:rsidRDefault="00AC0ED4">
            <w:pPr>
              <w:numPr>
                <w:ilvl w:val="1"/>
                <w:numId w:val="12"/>
              </w:numPr>
              <w:spacing w:beforeLines="0" w:before="0" w:afterLines="0" w:after="0"/>
              <w:rPr>
                <w:szCs w:val="21"/>
              </w:rPr>
            </w:pPr>
            <w:r>
              <w:rPr>
                <w:szCs w:val="21"/>
              </w:rPr>
              <w:t>[0.3%] - [1.1%] where the baseline assumes 1 SS burst for synchronization before PO reception</w:t>
            </w:r>
          </w:p>
          <w:p w:rsidR="00807327" w:rsidRDefault="00AC0ED4">
            <w:pPr>
              <w:numPr>
                <w:ilvl w:val="1"/>
                <w:numId w:val="12"/>
              </w:numPr>
              <w:spacing w:beforeLines="0" w:before="0" w:afterLines="0" w:after="0"/>
              <w:rPr>
                <w:szCs w:val="21"/>
              </w:rPr>
            </w:pPr>
            <w:r>
              <w:rPr>
                <w:szCs w:val="21"/>
              </w:rPr>
              <w:t>[0.4%] - [0.8%] where the baseline assumes 2 SS bursts for synchronization before PO reception</w:t>
            </w:r>
          </w:p>
          <w:p w:rsidR="00807327" w:rsidRDefault="00AC0ED4">
            <w:pPr>
              <w:numPr>
                <w:ilvl w:val="1"/>
                <w:numId w:val="12"/>
              </w:numPr>
              <w:spacing w:beforeLines="0" w:before="0" w:afterLines="0" w:after="0"/>
              <w:rPr>
                <w:szCs w:val="21"/>
              </w:rPr>
            </w:pPr>
            <w:r>
              <w:rPr>
                <w:szCs w:val="21"/>
              </w:rPr>
              <w:t>[0.3%] - [1.0%] where the baseline assumes 3 SS bursts for synchronization before PO reception</w:t>
            </w:r>
          </w:p>
          <w:p w:rsidR="00807327" w:rsidRDefault="00AC0ED4">
            <w:pPr>
              <w:numPr>
                <w:ilvl w:val="0"/>
                <w:numId w:val="12"/>
              </w:numPr>
              <w:spacing w:beforeLines="0" w:before="0" w:afterLines="0" w:after="0"/>
              <w:rPr>
                <w:szCs w:val="21"/>
              </w:rPr>
            </w:pPr>
            <w:r>
              <w:rPr>
                <w:szCs w:val="21"/>
              </w:rPr>
              <w:t>Some sources also evaluated performance if the original group paging rate is in the range between 20% and 80% and showed following results:</w:t>
            </w:r>
            <w:r>
              <w:rPr>
                <w:rStyle w:val="apple-converted-space"/>
                <w:szCs w:val="21"/>
              </w:rPr>
              <w:t> </w:t>
            </w:r>
            <w:r>
              <w:rPr>
                <w:szCs w:val="21"/>
              </w:rPr>
              <w:t xml:space="preserve"> </w:t>
            </w:r>
          </w:p>
          <w:p w:rsidR="00807327" w:rsidRDefault="00AC0ED4">
            <w:pPr>
              <w:numPr>
                <w:ilvl w:val="1"/>
                <w:numId w:val="12"/>
              </w:numPr>
              <w:spacing w:beforeLines="0" w:before="0" w:afterLines="0" w:after="0"/>
              <w:rPr>
                <w:szCs w:val="21"/>
              </w:rPr>
            </w:pPr>
            <w:r>
              <w:rPr>
                <w:szCs w:val="21"/>
              </w:rPr>
              <w:t>[0.7%] - [7.6%] where the baseline assumes 1 SS burst for synchronization before PO reception</w:t>
            </w:r>
          </w:p>
          <w:p w:rsidR="00807327" w:rsidRDefault="00AC0ED4">
            <w:pPr>
              <w:numPr>
                <w:ilvl w:val="1"/>
                <w:numId w:val="12"/>
              </w:numPr>
              <w:spacing w:beforeLines="0" w:before="0" w:afterLines="0" w:after="0"/>
              <w:rPr>
                <w:szCs w:val="21"/>
              </w:rPr>
            </w:pPr>
            <w:r>
              <w:rPr>
                <w:szCs w:val="21"/>
              </w:rPr>
              <w:t>[0.8%] - [3.0%] where the baseline assumes 2 SS bursts for synchronization before PO reception</w:t>
            </w:r>
          </w:p>
          <w:p w:rsidR="00807327" w:rsidRDefault="00AC0ED4">
            <w:pPr>
              <w:numPr>
                <w:ilvl w:val="1"/>
                <w:numId w:val="12"/>
              </w:numPr>
              <w:spacing w:beforeLines="0" w:before="0" w:afterLines="0" w:after="0"/>
              <w:rPr>
                <w:szCs w:val="21"/>
              </w:rPr>
            </w:pPr>
            <w:r>
              <w:rPr>
                <w:szCs w:val="21"/>
              </w:rPr>
              <w:lastRenderedPageBreak/>
              <w:t>[0.5%] - [4.7%] where the baseline assumes 3 SS bursts for synchronization before PO reception</w:t>
            </w:r>
          </w:p>
          <w:p w:rsidR="00807327" w:rsidRDefault="00AC0ED4">
            <w:pPr>
              <w:spacing w:beforeLines="0" w:before="0" w:afterLines="0" w:after="0"/>
              <w:rPr>
                <w:szCs w:val="21"/>
              </w:rPr>
            </w:pPr>
            <w:r>
              <w:rPr>
                <w:rFonts w:eastAsia="Calibri"/>
                <w:szCs w:val="21"/>
              </w:rPr>
              <w:t>The number of UE sub-groups evaluated ranges from 2 to 16.</w:t>
            </w:r>
          </w:p>
        </w:tc>
      </w:tr>
    </w:tbl>
    <w:p w:rsidR="00807327" w:rsidRDefault="00AC0ED4">
      <w:pPr>
        <w:pStyle w:val="YJ-Observation"/>
        <w:spacing w:before="120" w:after="120"/>
        <w:jc w:val="both"/>
        <w:rPr>
          <w:i w:val="0"/>
          <w:iCs w:val="0"/>
        </w:rPr>
      </w:pPr>
      <w:bookmarkStart w:id="5" w:name="_Toc31382"/>
      <w:bookmarkStart w:id="6" w:name="_Toc25775"/>
      <w:r>
        <w:rPr>
          <w:rFonts w:hint="eastAsia"/>
          <w:i w:val="0"/>
          <w:iCs w:val="0"/>
          <w:lang w:val="en-US" w:eastAsia="zh-CN"/>
        </w:rPr>
        <w:lastRenderedPageBreak/>
        <w:t xml:space="preserve">Without PEI, the power saving gain of </w:t>
      </w:r>
      <w:r>
        <w:rPr>
          <w:i w:val="0"/>
          <w:iCs w:val="0"/>
          <w:lang w:val="en-US" w:eastAsia="zh-CN"/>
        </w:rPr>
        <w:t xml:space="preserve">paging </w:t>
      </w:r>
      <w:r>
        <w:rPr>
          <w:rFonts w:hint="eastAsia"/>
          <w:i w:val="0"/>
          <w:iCs w:val="0"/>
          <w:lang w:val="en-US" w:eastAsia="zh-CN"/>
        </w:rPr>
        <w:t>sub-grouping only is marginal.</w:t>
      </w:r>
      <w:bookmarkEnd w:id="5"/>
      <w:bookmarkEnd w:id="6"/>
    </w:p>
    <w:p w:rsidR="00807327" w:rsidRDefault="00AC0ED4">
      <w:pPr>
        <w:spacing w:before="120" w:after="120" w:line="260" w:lineRule="auto"/>
      </w:pPr>
      <w:r>
        <w:rPr>
          <w:rFonts w:hint="eastAsia"/>
        </w:rPr>
        <w:t xml:space="preserve">To sum up, </w:t>
      </w:r>
      <w:r>
        <w:t xml:space="preserve">the agreed </w:t>
      </w:r>
      <w:r>
        <w:rPr>
          <w:rFonts w:hint="eastAsia"/>
        </w:rPr>
        <w:t xml:space="preserve">PEI </w:t>
      </w:r>
      <w:r>
        <w:t xml:space="preserve">physical layer design </w:t>
      </w:r>
      <w:r>
        <w:rPr>
          <w:rFonts w:hint="eastAsia"/>
        </w:rPr>
        <w:t>is the most effective solution</w:t>
      </w:r>
      <w:r>
        <w:t xml:space="preserve"> to reduce the</w:t>
      </w:r>
      <w:r>
        <w:rPr>
          <w:rFonts w:hint="eastAsia"/>
        </w:rPr>
        <w:t xml:space="preserve"> power consumption of NR UE idle</w:t>
      </w:r>
      <w:r>
        <w:t>/inactive</w:t>
      </w:r>
      <w:r>
        <w:rPr>
          <w:rFonts w:hint="eastAsia"/>
        </w:rPr>
        <w:t xml:space="preserve"> mod</w:t>
      </w:r>
      <w:r>
        <w:t>e</w:t>
      </w:r>
      <w:r>
        <w:rPr>
          <w:rFonts w:hint="eastAsia"/>
        </w:rPr>
        <w:t xml:space="preserve">. Therefore, the introduction of PEI is </w:t>
      </w:r>
      <w:r>
        <w:t>necessary</w:t>
      </w:r>
      <w:r>
        <w:rPr>
          <w:rFonts w:hint="eastAsia"/>
        </w:rPr>
        <w:t>.</w:t>
      </w:r>
    </w:p>
    <w:p w:rsidR="00807327" w:rsidRDefault="00AC0ED4">
      <w:pPr>
        <w:pStyle w:val="YJ-Proposal"/>
        <w:spacing w:before="120" w:after="120"/>
        <w:rPr>
          <w:i w:val="0"/>
        </w:rPr>
      </w:pPr>
      <w:bookmarkStart w:id="7" w:name="_Toc30100"/>
      <w:bookmarkStart w:id="8" w:name="_Toc29795"/>
      <w:bookmarkStart w:id="9" w:name="_Toc16566"/>
      <w:r>
        <w:rPr>
          <w:i w:val="0"/>
        </w:rPr>
        <w:t>Based on</w:t>
      </w:r>
      <w:r>
        <w:rPr>
          <w:rFonts w:hint="eastAsia"/>
          <w:i w:val="0"/>
        </w:rPr>
        <w:t xml:space="preserve"> power saving </w:t>
      </w:r>
      <w:r>
        <w:rPr>
          <w:rFonts w:hint="eastAsia"/>
          <w:i w:val="0"/>
          <w:lang w:val="en-US" w:eastAsia="zh-CN"/>
        </w:rPr>
        <w:t>gain</w:t>
      </w:r>
      <w:r>
        <w:rPr>
          <w:rFonts w:hint="eastAsia"/>
          <w:i w:val="0"/>
        </w:rPr>
        <w:t xml:space="preserve"> and </w:t>
      </w:r>
      <w:r>
        <w:rPr>
          <w:i w:val="0"/>
          <w:lang w:val="en-US" w:eastAsia="zh-CN"/>
        </w:rPr>
        <w:t>RAN1</w:t>
      </w:r>
      <w:r>
        <w:rPr>
          <w:rFonts w:hint="eastAsia"/>
          <w:i w:val="0"/>
          <w:lang w:val="en-US" w:eastAsia="zh-CN"/>
        </w:rPr>
        <w:t xml:space="preserve"> agreements</w:t>
      </w:r>
      <w:r>
        <w:rPr>
          <w:rFonts w:hint="eastAsia"/>
          <w:i w:val="0"/>
        </w:rPr>
        <w:t xml:space="preserve">, the introduction of PEI is </w:t>
      </w:r>
      <w:r>
        <w:rPr>
          <w:i w:val="0"/>
          <w:iCs w:val="0"/>
        </w:rPr>
        <w:t>necessary</w:t>
      </w:r>
      <w:r>
        <w:rPr>
          <w:rFonts w:hint="eastAsia"/>
          <w:i w:val="0"/>
          <w:lang w:val="en-US" w:eastAsia="zh-CN"/>
        </w:rPr>
        <w:t>.</w:t>
      </w:r>
      <w:bookmarkEnd w:id="7"/>
      <w:bookmarkEnd w:id="8"/>
      <w:bookmarkEnd w:id="9"/>
    </w:p>
    <w:p w:rsidR="00807327" w:rsidRDefault="00807327">
      <w:pPr>
        <w:spacing w:before="120" w:after="120" w:line="260" w:lineRule="auto"/>
      </w:pPr>
    </w:p>
    <w:p w:rsidR="00807327" w:rsidRDefault="00AC0ED4">
      <w:pPr>
        <w:pStyle w:val="1"/>
        <w:spacing w:before="120" w:after="120"/>
        <w:ind w:left="0"/>
        <w:rPr>
          <w:rFonts w:ascii="Times New Roman" w:hAnsi="Times New Roman"/>
          <w:sz w:val="20"/>
          <w:szCs w:val="21"/>
        </w:rPr>
      </w:pPr>
      <w:r>
        <w:rPr>
          <w:rFonts w:ascii="Times New Roman" w:eastAsia="宋体" w:hAnsi="Times New Roman" w:hint="eastAsia"/>
          <w:b/>
          <w:sz w:val="24"/>
          <w:szCs w:val="24"/>
        </w:rPr>
        <w:t xml:space="preserve">Discussion on PEI candidate </w:t>
      </w:r>
    </w:p>
    <w:p w:rsidR="00807327" w:rsidRDefault="00AC0ED4">
      <w:pPr>
        <w:spacing w:before="120" w:after="120" w:line="260" w:lineRule="auto"/>
      </w:pPr>
      <w:r>
        <w:rPr>
          <w:rFonts w:hint="eastAsia"/>
        </w:rPr>
        <w:t xml:space="preserve">Regarding the </w:t>
      </w:r>
      <w:r>
        <w:t>candidate</w:t>
      </w:r>
      <w:r>
        <w:rPr>
          <w:rFonts w:hint="eastAsia"/>
        </w:rPr>
        <w:t xml:space="preserve"> PEI</w:t>
      </w:r>
      <w:r>
        <w:t xml:space="preserve"> design</w:t>
      </w:r>
      <w:r>
        <w:rPr>
          <w:rFonts w:hint="eastAsia"/>
        </w:rPr>
        <w:t xml:space="preserve">, the following conclusions </w:t>
      </w:r>
      <w:r>
        <w:t>were reached in RAN1-106e</w:t>
      </w:r>
      <w:r>
        <w:rPr>
          <w:rFonts w:hint="eastAsia"/>
        </w:rPr>
        <w:t>.</w:t>
      </w:r>
    </w:p>
    <w:tbl>
      <w:tblPr>
        <w:tblStyle w:val="ac"/>
        <w:tblW w:w="0" w:type="auto"/>
        <w:jc w:val="center"/>
        <w:tblLook w:val="04A0" w:firstRow="1" w:lastRow="0" w:firstColumn="1" w:lastColumn="0" w:noHBand="0" w:noVBand="1"/>
      </w:tblPr>
      <w:tblGrid>
        <w:gridCol w:w="9640"/>
      </w:tblGrid>
      <w:tr w:rsidR="00807327">
        <w:trPr>
          <w:trHeight w:val="589"/>
          <w:jc w:val="center"/>
        </w:trPr>
        <w:tc>
          <w:tcPr>
            <w:tcW w:w="9640" w:type="dxa"/>
          </w:tcPr>
          <w:p w:rsidR="00807327" w:rsidRDefault="00AC0ED4">
            <w:pPr>
              <w:spacing w:before="120" w:after="120"/>
              <w:rPr>
                <w:szCs w:val="21"/>
              </w:rPr>
            </w:pPr>
            <w:r>
              <w:rPr>
                <w:szCs w:val="21"/>
              </w:rPr>
              <w:t>Conclusion</w:t>
            </w:r>
          </w:p>
          <w:p w:rsidR="00807327" w:rsidRDefault="00AC0ED4">
            <w:pPr>
              <w:spacing w:before="120" w:after="120"/>
              <w:rPr>
                <w:szCs w:val="21"/>
              </w:rPr>
            </w:pPr>
            <w:r>
              <w:rPr>
                <w:szCs w:val="21"/>
              </w:rPr>
              <w:t>To down-select one solution for PEI physical-layer channel/signal in RAN1 #106-e,</w:t>
            </w:r>
          </w:p>
          <w:p w:rsidR="00807327" w:rsidRDefault="00AC0ED4">
            <w:pPr>
              <w:pStyle w:val="af1"/>
              <w:numPr>
                <w:ilvl w:val="0"/>
                <w:numId w:val="10"/>
              </w:numPr>
              <w:spacing w:after="120"/>
              <w:rPr>
                <w:sz w:val="21"/>
                <w:szCs w:val="21"/>
              </w:rPr>
            </w:pPr>
            <w:r>
              <w:rPr>
                <w:rFonts w:hint="eastAsia"/>
                <w:sz w:val="21"/>
                <w:szCs w:val="21"/>
              </w:rPr>
              <w:t>PDCCH-based PEI</w:t>
            </w:r>
          </w:p>
          <w:p w:rsidR="00807327" w:rsidRDefault="00AC0ED4">
            <w:pPr>
              <w:pStyle w:val="af1"/>
              <w:numPr>
                <w:ilvl w:val="0"/>
                <w:numId w:val="10"/>
              </w:numPr>
              <w:spacing w:after="120"/>
              <w:rPr>
                <w:sz w:val="21"/>
                <w:szCs w:val="21"/>
              </w:rPr>
            </w:pPr>
            <w:r>
              <w:rPr>
                <w:rFonts w:hint="eastAsia"/>
                <w:sz w:val="21"/>
                <w:szCs w:val="21"/>
              </w:rPr>
              <w:t>SSS-based PEI</w:t>
            </w:r>
          </w:p>
          <w:p w:rsidR="00807327" w:rsidRDefault="00807327">
            <w:pPr>
              <w:spacing w:before="120" w:after="120"/>
              <w:rPr>
                <w:rFonts w:eastAsia="等线"/>
                <w:szCs w:val="21"/>
              </w:rPr>
            </w:pPr>
          </w:p>
          <w:p w:rsidR="00807327" w:rsidRDefault="00AC0ED4">
            <w:pPr>
              <w:spacing w:before="120" w:after="120"/>
              <w:rPr>
                <w:rFonts w:eastAsia="等线"/>
                <w:szCs w:val="21"/>
              </w:rPr>
            </w:pPr>
            <w:r>
              <w:rPr>
                <w:rFonts w:eastAsia="等线"/>
                <w:szCs w:val="21"/>
              </w:rPr>
              <w:t xml:space="preserve">Proposed </w:t>
            </w:r>
            <w:r>
              <w:rPr>
                <w:rFonts w:eastAsia="等线" w:hint="eastAsia"/>
                <w:szCs w:val="21"/>
              </w:rPr>
              <w:t>W</w:t>
            </w:r>
            <w:r>
              <w:rPr>
                <w:rFonts w:eastAsia="等线"/>
                <w:szCs w:val="21"/>
              </w:rPr>
              <w:t>orking Assumption</w:t>
            </w:r>
          </w:p>
          <w:p w:rsidR="00807327" w:rsidRDefault="00AC0ED4">
            <w:pPr>
              <w:pStyle w:val="af1"/>
              <w:numPr>
                <w:ilvl w:val="0"/>
                <w:numId w:val="10"/>
              </w:numPr>
              <w:spacing w:after="120"/>
              <w:rPr>
                <w:sz w:val="21"/>
                <w:szCs w:val="21"/>
              </w:rPr>
            </w:pPr>
            <w:r>
              <w:rPr>
                <w:rFonts w:hint="eastAsia"/>
                <w:sz w:val="21"/>
                <w:szCs w:val="21"/>
              </w:rPr>
              <w:t>PDCCH-based PEI</w:t>
            </w:r>
          </w:p>
          <w:p w:rsidR="00807327" w:rsidRDefault="00AC0ED4">
            <w:pPr>
              <w:spacing w:before="120" w:after="120"/>
              <w:rPr>
                <w:szCs w:val="21"/>
              </w:rPr>
            </w:pPr>
            <w:r>
              <w:rPr>
                <w:rFonts w:eastAsia="等线"/>
                <w:szCs w:val="21"/>
              </w:rPr>
              <w:t>Supported by 20 companies, but can not be accepted by 3 companies, i.e., Intel, CATT, Sony.</w:t>
            </w:r>
          </w:p>
        </w:tc>
      </w:tr>
    </w:tbl>
    <w:p w:rsidR="00807327" w:rsidRDefault="00AC0ED4">
      <w:pPr>
        <w:spacing w:before="120" w:after="120" w:line="260" w:lineRule="auto"/>
      </w:pPr>
      <w:r>
        <w:rPr>
          <w:rFonts w:hint="eastAsia"/>
        </w:rPr>
        <w:t>From the conclusion it can be seen</w:t>
      </w:r>
      <w:r>
        <w:t xml:space="preserve"> that the majority</w:t>
      </w:r>
      <w:r>
        <w:rPr>
          <w:rFonts w:hint="eastAsia"/>
        </w:rPr>
        <w:t xml:space="preserve"> companies support PDCCH-based PEI. This is because PDCCH-based PEI has </w:t>
      </w:r>
      <w:r>
        <w:t>comparable</w:t>
      </w:r>
      <w:r>
        <w:rPr>
          <w:rFonts w:hint="eastAsia"/>
        </w:rPr>
        <w:t xml:space="preserve"> or better performance in terms of power saving gain, MDR performance, co</w:t>
      </w:r>
      <w:r>
        <w:t>-</w:t>
      </w:r>
      <w:r>
        <w:rPr>
          <w:rFonts w:hint="eastAsia"/>
        </w:rPr>
        <w:t xml:space="preserve">existence with other signal/channels, resource overhead and </w:t>
      </w:r>
      <w:r>
        <w:t xml:space="preserve">standardization </w:t>
      </w:r>
      <w:r>
        <w:rPr>
          <w:rFonts w:hint="eastAsia"/>
        </w:rPr>
        <w:t>workload.</w:t>
      </w:r>
    </w:p>
    <w:p w:rsidR="00807327" w:rsidRDefault="00AC0ED4">
      <w:pPr>
        <w:numPr>
          <w:ilvl w:val="0"/>
          <w:numId w:val="13"/>
        </w:numPr>
        <w:spacing w:before="120" w:after="120" w:line="260" w:lineRule="auto"/>
        <w:rPr>
          <w:b/>
          <w:bCs/>
        </w:rPr>
      </w:pPr>
      <w:r>
        <w:rPr>
          <w:rFonts w:hint="eastAsia"/>
          <w:b/>
          <w:bCs/>
        </w:rPr>
        <w:t>Power saving gain</w:t>
      </w:r>
    </w:p>
    <w:p w:rsidR="00807327" w:rsidRDefault="00AC0ED4">
      <w:pPr>
        <w:spacing w:before="120" w:after="120"/>
      </w:pPr>
      <w:r>
        <w:rPr>
          <w:rFonts w:hint="eastAsia"/>
        </w:rPr>
        <w:t xml:space="preserve">In RAN1-105-e, the </w:t>
      </w:r>
      <w:r>
        <w:t xml:space="preserve">observations about </w:t>
      </w:r>
      <w:r>
        <w:rPr>
          <w:rFonts w:hint="eastAsia"/>
        </w:rPr>
        <w:t xml:space="preserve">power saving gain from </w:t>
      </w:r>
      <w:r>
        <w:t xml:space="preserve">the </w:t>
      </w:r>
      <w:r>
        <w:rPr>
          <w:rFonts w:hint="eastAsia"/>
        </w:rPr>
        <w:t xml:space="preserve">PEI candidates were </w:t>
      </w:r>
      <w:r>
        <w:t xml:space="preserve">agreed </w:t>
      </w:r>
      <w:r>
        <w:rPr>
          <w:rFonts w:hint="eastAsia"/>
        </w:rPr>
        <w:t>[5].</w:t>
      </w:r>
      <w:r>
        <w:t xml:space="preserve"> Furthermore,</w:t>
      </w:r>
      <w:r>
        <w:rPr>
          <w:rFonts w:hint="eastAsia"/>
        </w:rPr>
        <w:t xml:space="preserve"> according to the </w:t>
      </w:r>
      <w:r>
        <w:t>analysis in [</w:t>
      </w:r>
      <w:r>
        <w:rPr>
          <w:rFonts w:hint="eastAsia"/>
        </w:rPr>
        <w:t>6</w:t>
      </w:r>
      <w:r>
        <w:t>]</w:t>
      </w:r>
      <w:r>
        <w:rPr>
          <w:rFonts w:hint="eastAsia"/>
        </w:rPr>
        <w:t xml:space="preserve">, </w:t>
      </w:r>
      <w:r>
        <w:t xml:space="preserve">the power saving gain from </w:t>
      </w:r>
      <w:r>
        <w:rPr>
          <w:rFonts w:hint="eastAsia"/>
        </w:rPr>
        <w:t>PEI candidates</w:t>
      </w:r>
      <w:r>
        <w:t xml:space="preserve"> depends on the PEI location. With a proper configuration of PEI location, the power saving gain from both PDCCH</w:t>
      </w:r>
      <w:r w:rsidR="007E73F1">
        <w:t>-</w:t>
      </w:r>
      <w:r>
        <w:t>based PEI and SSS-based PEI are comparable.</w:t>
      </w:r>
    </w:p>
    <w:p w:rsidR="00807327" w:rsidRDefault="00AC0ED4">
      <w:pPr>
        <w:pStyle w:val="YJ-Observation"/>
        <w:spacing w:before="120" w:after="120" w:line="260" w:lineRule="auto"/>
        <w:jc w:val="both"/>
        <w:rPr>
          <w:sz w:val="21"/>
          <w:szCs w:val="21"/>
        </w:rPr>
      </w:pPr>
      <w:bookmarkStart w:id="10" w:name="_Toc8984"/>
      <w:bookmarkStart w:id="11" w:name="_Toc11586"/>
      <w:r>
        <w:rPr>
          <w:i w:val="0"/>
          <w:iCs w:val="0"/>
          <w:sz w:val="21"/>
          <w:szCs w:val="21"/>
          <w:lang w:val="en-US"/>
        </w:rPr>
        <w:t xml:space="preserve">The power saving gain of </w:t>
      </w:r>
      <w:r>
        <w:rPr>
          <w:rFonts w:hint="eastAsia"/>
          <w:i w:val="0"/>
          <w:iCs w:val="0"/>
          <w:sz w:val="21"/>
          <w:szCs w:val="21"/>
          <w:lang w:val="en-US" w:eastAsia="zh-CN"/>
        </w:rPr>
        <w:t>PDCCH-based</w:t>
      </w:r>
      <w:r>
        <w:rPr>
          <w:i w:val="0"/>
          <w:iCs w:val="0"/>
          <w:sz w:val="21"/>
          <w:szCs w:val="21"/>
          <w:lang w:val="en-US"/>
        </w:rPr>
        <w:t xml:space="preserve"> PEI and </w:t>
      </w:r>
      <w:r>
        <w:rPr>
          <w:rFonts w:hint="eastAsia"/>
          <w:i w:val="0"/>
          <w:iCs w:val="0"/>
          <w:sz w:val="21"/>
          <w:szCs w:val="21"/>
          <w:lang w:val="en-US" w:eastAsia="zh-CN"/>
        </w:rPr>
        <w:t>SSS</w:t>
      </w:r>
      <w:r>
        <w:rPr>
          <w:i w:val="0"/>
          <w:iCs w:val="0"/>
          <w:sz w:val="21"/>
          <w:szCs w:val="21"/>
          <w:lang w:val="en-US"/>
        </w:rPr>
        <w:t xml:space="preserve">-based PEI is the </w:t>
      </w:r>
      <w:r>
        <w:rPr>
          <w:i w:val="0"/>
        </w:rPr>
        <w:t>comparable</w:t>
      </w:r>
      <w:r>
        <w:rPr>
          <w:i w:val="0"/>
          <w:iCs w:val="0"/>
          <w:sz w:val="21"/>
          <w:szCs w:val="21"/>
          <w:lang w:val="en-US"/>
        </w:rPr>
        <w:t>.</w:t>
      </w:r>
      <w:bookmarkEnd w:id="10"/>
      <w:bookmarkEnd w:id="11"/>
    </w:p>
    <w:p w:rsidR="00807327" w:rsidRDefault="00807327">
      <w:pPr>
        <w:spacing w:before="120" w:after="120" w:line="260" w:lineRule="auto"/>
      </w:pPr>
    </w:p>
    <w:p w:rsidR="00807327" w:rsidRDefault="00AC0ED4">
      <w:pPr>
        <w:numPr>
          <w:ilvl w:val="0"/>
          <w:numId w:val="13"/>
        </w:numPr>
        <w:spacing w:before="120" w:after="120" w:line="260" w:lineRule="auto"/>
        <w:rPr>
          <w:b/>
          <w:bCs/>
        </w:rPr>
      </w:pPr>
      <w:r>
        <w:rPr>
          <w:rFonts w:hint="eastAsia"/>
          <w:b/>
          <w:bCs/>
        </w:rPr>
        <w:t>MDR performance</w:t>
      </w:r>
    </w:p>
    <w:p w:rsidR="00807327" w:rsidRDefault="00AC0ED4">
      <w:pPr>
        <w:spacing w:before="120" w:after="120" w:line="260" w:lineRule="auto"/>
      </w:pPr>
      <w:r>
        <w:rPr>
          <w:rFonts w:hint="eastAsia"/>
        </w:rPr>
        <w:t xml:space="preserve">According to the </w:t>
      </w:r>
      <w:r>
        <w:t>RAN1</w:t>
      </w:r>
      <w:r>
        <w:rPr>
          <w:rFonts w:hint="eastAsia"/>
        </w:rPr>
        <w:t xml:space="preserve"> agreements, both PDCCH-based PEI and SSS-based PEI</w:t>
      </w:r>
      <w:r>
        <w:t xml:space="preserve"> are</w:t>
      </w:r>
      <w:r>
        <w:rPr>
          <w:rFonts w:hint="eastAsia"/>
        </w:rPr>
        <w:t xml:space="preserve"> verified to satisfy the mandatory joint MDR performance criterion. </w:t>
      </w:r>
    </w:p>
    <w:p w:rsidR="00807327" w:rsidRDefault="00AC0ED4">
      <w:pPr>
        <w:spacing w:before="120" w:after="120" w:line="260" w:lineRule="auto"/>
      </w:pPr>
      <w:r>
        <w:rPr>
          <w:rFonts w:hint="eastAsia"/>
        </w:rPr>
        <w:t xml:space="preserve">For SSS-like PEI, non-coherent detection can be used. While for PDCCH-based PEI, the ML decoding can be adopted </w:t>
      </w:r>
      <w:r>
        <w:t>with a small</w:t>
      </w:r>
      <w:r>
        <w:rPr>
          <w:rFonts w:hint="eastAsia"/>
        </w:rPr>
        <w:t xml:space="preserve"> payload</w:t>
      </w:r>
      <w:r>
        <w:t xml:space="preserve"> size</w:t>
      </w:r>
      <w:r>
        <w:rPr>
          <w:rFonts w:hint="eastAsia"/>
        </w:rPr>
        <w:t xml:space="preserve">. When ML decoding is adopted for PDCCH-based PEI, the PEI detection performance can be greatly improved. </w:t>
      </w:r>
    </w:p>
    <w:p w:rsidR="00807327" w:rsidRDefault="00AC0ED4">
      <w:pPr>
        <w:pStyle w:val="YJ-Observation"/>
        <w:spacing w:before="120" w:after="120"/>
        <w:jc w:val="both"/>
        <w:rPr>
          <w:i w:val="0"/>
          <w:iCs w:val="0"/>
          <w:sz w:val="21"/>
          <w:szCs w:val="21"/>
        </w:rPr>
      </w:pPr>
      <w:bookmarkStart w:id="12" w:name="_Toc11932"/>
      <w:bookmarkStart w:id="13" w:name="_Toc22067"/>
      <w:bookmarkStart w:id="14" w:name="_Toc18164"/>
      <w:bookmarkStart w:id="15" w:name="_Toc26120"/>
      <w:bookmarkStart w:id="16" w:name="_Toc24494"/>
      <w:bookmarkStart w:id="17" w:name="_Toc11682"/>
      <w:bookmarkStart w:id="18" w:name="_Toc20726"/>
      <w:bookmarkStart w:id="19" w:name="_Toc23139"/>
      <w:bookmarkStart w:id="20" w:name="_Toc30665"/>
      <w:bookmarkStart w:id="21" w:name="_Toc3967"/>
      <w:bookmarkStart w:id="22" w:name="_Toc12334"/>
      <w:bookmarkStart w:id="23" w:name="_Toc28703"/>
      <w:bookmarkEnd w:id="12"/>
      <w:bookmarkEnd w:id="13"/>
      <w:bookmarkEnd w:id="14"/>
      <w:r>
        <w:rPr>
          <w:rFonts w:hint="eastAsia"/>
          <w:i w:val="0"/>
          <w:iCs w:val="0"/>
          <w:sz w:val="21"/>
          <w:szCs w:val="21"/>
          <w:lang w:val="en-US" w:eastAsia="zh-CN"/>
        </w:rPr>
        <w:t xml:space="preserve">Both PDCCH-based PEI and SSS-based PEI </w:t>
      </w:r>
      <w:r>
        <w:rPr>
          <w:i w:val="0"/>
          <w:iCs w:val="0"/>
          <w:sz w:val="21"/>
          <w:szCs w:val="21"/>
          <w:lang w:val="en-US" w:eastAsia="zh-CN"/>
        </w:rPr>
        <w:t xml:space="preserve">are </w:t>
      </w:r>
      <w:r>
        <w:rPr>
          <w:rFonts w:hint="eastAsia"/>
          <w:i w:val="0"/>
          <w:iCs w:val="0"/>
          <w:sz w:val="21"/>
          <w:szCs w:val="21"/>
          <w:lang w:val="en-US" w:eastAsia="zh-CN"/>
        </w:rPr>
        <w:t xml:space="preserve">verified to satisfy the mandatory joint MDR performance criterion. </w:t>
      </w:r>
      <w:r>
        <w:rPr>
          <w:i w:val="0"/>
          <w:iCs w:val="0"/>
          <w:sz w:val="21"/>
          <w:szCs w:val="21"/>
          <w:lang w:val="en-US" w:eastAsia="zh-CN"/>
        </w:rPr>
        <w:t>W</w:t>
      </w:r>
      <w:r>
        <w:rPr>
          <w:rFonts w:hint="eastAsia"/>
          <w:i w:val="0"/>
          <w:iCs w:val="0"/>
          <w:sz w:val="21"/>
          <w:szCs w:val="21"/>
          <w:lang w:val="en-US" w:eastAsia="zh-CN"/>
        </w:rPr>
        <w:t xml:space="preserve">hen the information bits of the PDCCH-based PEI are reduced, the </w:t>
      </w:r>
      <w:r>
        <w:rPr>
          <w:i w:val="0"/>
          <w:iCs w:val="0"/>
          <w:sz w:val="21"/>
          <w:szCs w:val="21"/>
          <w:lang w:val="en-US" w:eastAsia="zh-CN"/>
        </w:rPr>
        <w:t>MDR</w:t>
      </w:r>
      <w:r>
        <w:rPr>
          <w:rFonts w:hint="eastAsia"/>
          <w:i w:val="0"/>
          <w:iCs w:val="0"/>
          <w:sz w:val="21"/>
          <w:szCs w:val="21"/>
          <w:lang w:val="en-US" w:eastAsia="zh-CN"/>
        </w:rPr>
        <w:t xml:space="preserve"> performance</w:t>
      </w:r>
      <w:r>
        <w:rPr>
          <w:i w:val="0"/>
          <w:iCs w:val="0"/>
          <w:sz w:val="21"/>
          <w:szCs w:val="21"/>
          <w:lang w:val="en-US" w:eastAsia="zh-CN"/>
        </w:rPr>
        <w:t xml:space="preserve"> of </w:t>
      </w:r>
      <w:r>
        <w:rPr>
          <w:rFonts w:hint="eastAsia"/>
          <w:i w:val="0"/>
          <w:iCs w:val="0"/>
          <w:sz w:val="21"/>
          <w:szCs w:val="21"/>
          <w:lang w:val="en-US" w:eastAsia="zh-CN"/>
        </w:rPr>
        <w:t>PDCCH-</w:t>
      </w:r>
      <w:r>
        <w:rPr>
          <w:i w:val="0"/>
          <w:iCs w:val="0"/>
          <w:sz w:val="21"/>
          <w:szCs w:val="21"/>
          <w:lang w:val="en-US" w:eastAsia="zh-CN"/>
        </w:rPr>
        <w:t>based PEI</w:t>
      </w:r>
      <w:r>
        <w:rPr>
          <w:rFonts w:hint="eastAsia"/>
          <w:i w:val="0"/>
          <w:iCs w:val="0"/>
          <w:sz w:val="21"/>
          <w:szCs w:val="21"/>
          <w:lang w:val="en-US" w:eastAsia="zh-CN"/>
        </w:rPr>
        <w:t xml:space="preserve"> is further improved</w:t>
      </w:r>
      <w:r>
        <w:rPr>
          <w:i w:val="0"/>
          <w:iCs w:val="0"/>
          <w:sz w:val="21"/>
          <w:szCs w:val="21"/>
          <w:lang w:val="en-US" w:eastAsia="zh-CN"/>
        </w:rPr>
        <w:t xml:space="preserve"> with ML decoding</w:t>
      </w:r>
      <w:r>
        <w:rPr>
          <w:rFonts w:hint="eastAsia"/>
          <w:i w:val="0"/>
          <w:iCs w:val="0"/>
          <w:sz w:val="21"/>
          <w:szCs w:val="21"/>
          <w:lang w:val="en-US" w:eastAsia="zh-CN"/>
        </w:rPr>
        <w:t>.</w:t>
      </w:r>
      <w:bookmarkEnd w:id="15"/>
      <w:bookmarkEnd w:id="16"/>
      <w:r>
        <w:rPr>
          <w:rFonts w:hint="eastAsia"/>
          <w:i w:val="0"/>
          <w:iCs w:val="0"/>
          <w:sz w:val="21"/>
          <w:szCs w:val="21"/>
          <w:lang w:val="en-US" w:eastAsia="zh-CN"/>
        </w:rPr>
        <w:t xml:space="preserve"> </w:t>
      </w:r>
      <w:bookmarkEnd w:id="17"/>
      <w:bookmarkEnd w:id="18"/>
      <w:bookmarkEnd w:id="19"/>
      <w:bookmarkEnd w:id="20"/>
      <w:bookmarkEnd w:id="21"/>
      <w:bookmarkEnd w:id="22"/>
      <w:bookmarkEnd w:id="23"/>
    </w:p>
    <w:p w:rsidR="00807327" w:rsidRDefault="00AC0ED4">
      <w:pPr>
        <w:spacing w:before="120" w:after="120" w:line="260" w:lineRule="auto"/>
      </w:pPr>
      <w:r>
        <w:rPr>
          <w:rFonts w:hint="eastAsia"/>
        </w:rPr>
        <w:lastRenderedPageBreak/>
        <w:t>What</w:t>
      </w:r>
      <w:r>
        <w:t>’</w:t>
      </w:r>
      <w:r>
        <w:rPr>
          <w:rFonts w:hint="eastAsia"/>
        </w:rPr>
        <w:t>s more, compared with SSS-based PEI, PDCCH-based PEI has higher flexibility</w:t>
      </w:r>
      <w:r>
        <w:t xml:space="preserve"> due to the</w:t>
      </w:r>
      <w:r>
        <w:rPr>
          <w:rFonts w:hint="eastAsia"/>
        </w:rPr>
        <w:t xml:space="preserve"> </w:t>
      </w:r>
      <w:r>
        <w:t xml:space="preserve">configurable </w:t>
      </w:r>
      <w:r>
        <w:rPr>
          <w:rFonts w:hint="eastAsia"/>
        </w:rPr>
        <w:t>aggregation leve</w:t>
      </w:r>
      <w:r>
        <w:t>l</w:t>
      </w:r>
      <w:r>
        <w:rPr>
          <w:rFonts w:hint="eastAsia"/>
        </w:rPr>
        <w:t>. F</w:t>
      </w:r>
      <w:r>
        <w:t>or the UE with reduced receiving antenna</w:t>
      </w:r>
      <w:r>
        <w:rPr>
          <w:rFonts w:hint="eastAsia"/>
        </w:rPr>
        <w:t xml:space="preserve">, </w:t>
      </w:r>
      <w:r>
        <w:t>it</w:t>
      </w:r>
      <w:r>
        <w:rPr>
          <w:rFonts w:hint="eastAsia"/>
        </w:rPr>
        <w:t xml:space="preserve"> can obtain better detection performance </w:t>
      </w:r>
      <w:r>
        <w:t>with PDCCH based PEI with higher</w:t>
      </w:r>
      <w:r>
        <w:rPr>
          <w:rFonts w:hint="eastAsia"/>
        </w:rPr>
        <w:t xml:space="preserve"> aggregation level.</w:t>
      </w:r>
      <w:r>
        <w:t xml:space="preserve"> </w:t>
      </w:r>
      <w:r>
        <w:rPr>
          <w:rFonts w:hint="eastAsia"/>
        </w:rPr>
        <w:t xml:space="preserve">While SSS-based PEI cannot flexibly adjust its resource occupation to ensure the detection performance for the UE with reduced receiving antenna. </w:t>
      </w:r>
    </w:p>
    <w:p w:rsidR="00807327" w:rsidRDefault="00AC0ED4">
      <w:pPr>
        <w:pStyle w:val="YJ-Observation"/>
        <w:spacing w:before="120" w:after="120"/>
        <w:jc w:val="both"/>
        <w:rPr>
          <w:i w:val="0"/>
          <w:iCs w:val="0"/>
        </w:rPr>
      </w:pPr>
      <w:bookmarkStart w:id="24" w:name="_Toc26572"/>
      <w:bookmarkStart w:id="25" w:name="_Toc32668"/>
      <w:r>
        <w:rPr>
          <w:rFonts w:hint="eastAsia"/>
          <w:i w:val="0"/>
          <w:iCs w:val="0"/>
        </w:rPr>
        <w:t xml:space="preserve">PDCCH-based PEI has </w:t>
      </w:r>
      <w:r>
        <w:rPr>
          <w:i w:val="0"/>
          <w:iCs w:val="0"/>
        </w:rPr>
        <w:t>better</w:t>
      </w:r>
      <w:r>
        <w:rPr>
          <w:rFonts w:hint="eastAsia"/>
          <w:i w:val="0"/>
          <w:iCs w:val="0"/>
        </w:rPr>
        <w:t xml:space="preserve"> link adaption</w:t>
      </w:r>
      <w:r>
        <w:rPr>
          <w:rFonts w:hint="eastAsia"/>
          <w:i w:val="0"/>
          <w:iCs w:val="0"/>
          <w:lang w:val="en-US" w:eastAsia="zh-CN"/>
        </w:rPr>
        <w:t xml:space="preserve"> </w:t>
      </w:r>
      <w:r>
        <w:rPr>
          <w:i w:val="0"/>
          <w:iCs w:val="0"/>
        </w:rPr>
        <w:t>compared</w:t>
      </w:r>
      <w:r>
        <w:rPr>
          <w:rFonts w:hint="eastAsia"/>
          <w:i w:val="0"/>
          <w:iCs w:val="0"/>
        </w:rPr>
        <w:t xml:space="preserve"> with </w:t>
      </w:r>
      <w:r>
        <w:rPr>
          <w:rFonts w:hint="eastAsia"/>
          <w:i w:val="0"/>
          <w:iCs w:val="0"/>
          <w:lang w:val="en-US" w:eastAsia="zh-CN"/>
        </w:rPr>
        <w:t>SSS</w:t>
      </w:r>
      <w:r>
        <w:rPr>
          <w:rFonts w:hint="eastAsia"/>
          <w:i w:val="0"/>
          <w:iCs w:val="0"/>
        </w:rPr>
        <w:t>-based PEI.</w:t>
      </w:r>
      <w:bookmarkEnd w:id="24"/>
      <w:bookmarkEnd w:id="25"/>
    </w:p>
    <w:p w:rsidR="00807327" w:rsidRDefault="00807327">
      <w:pPr>
        <w:spacing w:before="120" w:after="120" w:line="260" w:lineRule="auto"/>
      </w:pPr>
    </w:p>
    <w:p w:rsidR="00807327" w:rsidRDefault="00AC0ED4">
      <w:pPr>
        <w:numPr>
          <w:ilvl w:val="0"/>
          <w:numId w:val="13"/>
        </w:numPr>
        <w:spacing w:before="120" w:after="120" w:line="260" w:lineRule="auto"/>
        <w:rPr>
          <w:b/>
          <w:bCs/>
        </w:rPr>
      </w:pPr>
      <w:r>
        <w:rPr>
          <w:rFonts w:hint="eastAsia"/>
          <w:b/>
          <w:bCs/>
        </w:rPr>
        <w:t>Coexistence</w:t>
      </w:r>
    </w:p>
    <w:p w:rsidR="00807327" w:rsidRDefault="00AC0ED4">
      <w:pPr>
        <w:spacing w:before="120" w:after="120" w:line="260" w:lineRule="auto"/>
        <w:rPr>
          <w:szCs w:val="21"/>
        </w:rPr>
      </w:pPr>
      <w:r>
        <w:rPr>
          <w:rFonts w:hint="eastAsia"/>
          <w:szCs w:val="21"/>
        </w:rPr>
        <w:t xml:space="preserve">For PDCCH-based PEI, it can dynamically coexist with legacy PDSCH scheduled by non-fall back DCI per mandatory UE </w:t>
      </w:r>
      <w:r>
        <w:rPr>
          <w:szCs w:val="21"/>
        </w:rPr>
        <w:t>capability</w:t>
      </w:r>
      <w:r>
        <w:rPr>
          <w:rFonts w:hint="eastAsia"/>
          <w:szCs w:val="21"/>
        </w:rPr>
        <w:t>. And it can also dynamically share resource with legacy PDCCH within CORESET at a fine</w:t>
      </w:r>
      <w:r>
        <w:rPr>
          <w:szCs w:val="21"/>
        </w:rPr>
        <w:t>r</w:t>
      </w:r>
      <w:r>
        <w:rPr>
          <w:rFonts w:hint="eastAsia"/>
          <w:szCs w:val="21"/>
        </w:rPr>
        <w:t xml:space="preserve"> granularity, which has less impact on PDCCH blocking.</w:t>
      </w:r>
    </w:p>
    <w:p w:rsidR="00807327" w:rsidRDefault="00AC0ED4">
      <w:pPr>
        <w:spacing w:before="120" w:after="120" w:line="260" w:lineRule="auto"/>
      </w:pPr>
      <w:bookmarkStart w:id="26" w:name="_Toc8478"/>
      <w:r>
        <w:rPr>
          <w:szCs w:val="21"/>
        </w:rPr>
        <w:t xml:space="preserve">However, </w:t>
      </w:r>
      <w:r>
        <w:t>a</w:t>
      </w:r>
      <w:r>
        <w:rPr>
          <w:rFonts w:hint="eastAsia"/>
        </w:rPr>
        <w:t xml:space="preserve">ccording to the </w:t>
      </w:r>
      <w:r>
        <w:t>RAN1</w:t>
      </w:r>
      <w:r>
        <w:rPr>
          <w:rFonts w:hint="eastAsia"/>
        </w:rPr>
        <w:t xml:space="preserve"> </w:t>
      </w:r>
      <w:r>
        <w:t>discussion</w:t>
      </w:r>
      <w:r>
        <w:rPr>
          <w:rFonts w:hint="eastAsia"/>
        </w:rPr>
        <w:t>,</w:t>
      </w:r>
      <w:bookmarkEnd w:id="26"/>
      <w:r>
        <w:t xml:space="preserve"> </w:t>
      </w:r>
      <w:r>
        <w:rPr>
          <w:rFonts w:hint="eastAsia"/>
        </w:rPr>
        <w:t xml:space="preserve">dynamic resource sharing </w:t>
      </w:r>
      <w:r>
        <w:t>between</w:t>
      </w:r>
      <w:r>
        <w:rPr>
          <w:rFonts w:hint="eastAsia"/>
        </w:rPr>
        <w:t xml:space="preserve"> PDSCH </w:t>
      </w:r>
      <w:r>
        <w:t xml:space="preserve">and </w:t>
      </w:r>
      <w:r>
        <w:rPr>
          <w:rFonts w:hint="eastAsia"/>
        </w:rPr>
        <w:t xml:space="preserve">SSS-like PEI is implemented by configuring a dedicated CORESET emulating the SSS-based PEI. However, supporting more than 2 CORESETs is an optional UE capability according to TS 38.306. </w:t>
      </w:r>
    </w:p>
    <w:p w:rsidR="00807327" w:rsidRDefault="00AC0ED4">
      <w:pPr>
        <w:spacing w:before="120" w:after="120" w:line="260" w:lineRule="auto"/>
        <w:rPr>
          <w:szCs w:val="21"/>
        </w:rPr>
      </w:pPr>
      <w:r>
        <w:rPr>
          <w:rFonts w:hint="eastAsia"/>
        </w:rPr>
        <w:t>What</w:t>
      </w:r>
      <w:r>
        <w:t>’</w:t>
      </w:r>
      <w:r>
        <w:rPr>
          <w:rFonts w:hint="eastAsia"/>
        </w:rPr>
        <w:t xml:space="preserve">s more, if </w:t>
      </w:r>
      <w:r>
        <w:rPr>
          <w:rFonts w:hint="eastAsia"/>
          <w:szCs w:val="21"/>
        </w:rPr>
        <w:t xml:space="preserve">the resource of SSS-based PEI overlaps with an interleaved CORESET, only CORESET-level resource sharing can be achieved, which implies that only one of the SSS-based PEI and legacy PDCCH can be transmitted. It will increase the PDCCH blocking rate if SSS-based PEI is </w:t>
      </w:r>
      <w:r>
        <w:rPr>
          <w:szCs w:val="21"/>
        </w:rPr>
        <w:t>prioritized</w:t>
      </w:r>
      <w:r>
        <w:rPr>
          <w:rFonts w:hint="eastAsia"/>
          <w:szCs w:val="21"/>
        </w:rPr>
        <w:t xml:space="preserve"> or increase the paging latency if </w:t>
      </w:r>
      <w:r>
        <w:rPr>
          <w:szCs w:val="21"/>
        </w:rPr>
        <w:t>legacy</w:t>
      </w:r>
      <w:r>
        <w:rPr>
          <w:rFonts w:hint="eastAsia"/>
          <w:szCs w:val="21"/>
        </w:rPr>
        <w:t xml:space="preserve"> PDCCH is </w:t>
      </w:r>
      <w:r>
        <w:rPr>
          <w:szCs w:val="21"/>
        </w:rPr>
        <w:t>prioritized</w:t>
      </w:r>
      <w:r>
        <w:rPr>
          <w:rFonts w:hint="eastAsia"/>
          <w:szCs w:val="21"/>
        </w:rPr>
        <w:t>.</w:t>
      </w:r>
    </w:p>
    <w:p w:rsidR="00807327" w:rsidRDefault="00AC0ED4">
      <w:pPr>
        <w:spacing w:before="120" w:after="120" w:line="260" w:lineRule="auto"/>
        <w:rPr>
          <w:szCs w:val="21"/>
        </w:rPr>
      </w:pPr>
      <w:r>
        <w:rPr>
          <w:rFonts w:hint="eastAsia"/>
          <w:szCs w:val="21"/>
        </w:rPr>
        <w:t xml:space="preserve">For the coexistence of SSS-based PEI and SSB, there is no definition of coexistence </w:t>
      </w:r>
      <w:r w:rsidR="00830AD9">
        <w:rPr>
          <w:szCs w:val="21"/>
        </w:rPr>
        <w:t>between</w:t>
      </w:r>
      <w:r>
        <w:rPr>
          <w:rFonts w:hint="eastAsia"/>
          <w:szCs w:val="21"/>
        </w:rPr>
        <w:t xml:space="preserve"> sequence-based PEI and SSB.</w:t>
      </w:r>
    </w:p>
    <w:p w:rsidR="00807327" w:rsidRDefault="00AC0ED4">
      <w:pPr>
        <w:pStyle w:val="YJ-Observation"/>
        <w:spacing w:before="120" w:after="120"/>
        <w:jc w:val="both"/>
        <w:rPr>
          <w:i w:val="0"/>
          <w:iCs w:val="0"/>
          <w:szCs w:val="21"/>
        </w:rPr>
      </w:pPr>
      <w:bookmarkStart w:id="27" w:name="_Toc13631"/>
      <w:r>
        <w:rPr>
          <w:rFonts w:hint="eastAsia"/>
          <w:i w:val="0"/>
          <w:iCs w:val="0"/>
          <w:szCs w:val="21"/>
          <w:lang w:val="en-US" w:eastAsia="zh-CN"/>
        </w:rPr>
        <w:t>PDCCH-</w:t>
      </w:r>
      <w:r>
        <w:rPr>
          <w:rFonts w:hint="eastAsia"/>
          <w:i w:val="0"/>
          <w:iCs w:val="0"/>
          <w:szCs w:val="21"/>
        </w:rPr>
        <w:t xml:space="preserve">based PEI </w:t>
      </w:r>
      <w:r>
        <w:rPr>
          <w:i w:val="0"/>
          <w:iCs w:val="0"/>
          <w:szCs w:val="21"/>
        </w:rPr>
        <w:t>has better</w:t>
      </w:r>
      <w:r>
        <w:rPr>
          <w:rFonts w:hint="eastAsia"/>
          <w:i w:val="0"/>
          <w:iCs w:val="0"/>
          <w:szCs w:val="21"/>
        </w:rPr>
        <w:t xml:space="preserve"> coexist</w:t>
      </w:r>
      <w:r>
        <w:rPr>
          <w:i w:val="0"/>
          <w:iCs w:val="0"/>
          <w:szCs w:val="21"/>
        </w:rPr>
        <w:t>ence performance</w:t>
      </w:r>
      <w:r>
        <w:rPr>
          <w:rFonts w:hint="eastAsia"/>
          <w:i w:val="0"/>
          <w:iCs w:val="0"/>
          <w:szCs w:val="21"/>
        </w:rPr>
        <w:t xml:space="preserve"> with legacy PDSCH</w:t>
      </w:r>
      <w:r>
        <w:rPr>
          <w:i w:val="0"/>
          <w:iCs w:val="0"/>
          <w:szCs w:val="21"/>
        </w:rPr>
        <w:t>,</w:t>
      </w:r>
      <w:r>
        <w:rPr>
          <w:rFonts w:hint="eastAsia"/>
          <w:i w:val="0"/>
          <w:iCs w:val="0"/>
          <w:szCs w:val="21"/>
        </w:rPr>
        <w:t xml:space="preserve"> PDCCH</w:t>
      </w:r>
      <w:r>
        <w:rPr>
          <w:i w:val="0"/>
          <w:iCs w:val="0"/>
          <w:szCs w:val="21"/>
        </w:rPr>
        <w:t>, and other reference signals</w:t>
      </w:r>
      <w:r>
        <w:rPr>
          <w:rFonts w:hint="eastAsia"/>
          <w:i w:val="0"/>
          <w:iCs w:val="0"/>
          <w:szCs w:val="21"/>
        </w:rPr>
        <w:t>.</w:t>
      </w:r>
      <w:bookmarkEnd w:id="27"/>
    </w:p>
    <w:p w:rsidR="00807327" w:rsidRDefault="00AC0ED4">
      <w:pPr>
        <w:spacing w:before="120" w:after="120" w:line="260" w:lineRule="auto"/>
      </w:pPr>
      <w:r>
        <w:rPr>
          <w:rFonts w:hint="eastAsia"/>
        </w:rPr>
        <w:t xml:space="preserve">In addition, if the SSS-based PEI is transmitted in the same frequency </w:t>
      </w:r>
      <w:r>
        <w:t>band</w:t>
      </w:r>
      <w:r>
        <w:rPr>
          <w:rFonts w:hint="eastAsia"/>
        </w:rPr>
        <w:t xml:space="preserve"> as the SSS</w:t>
      </w:r>
      <w:r>
        <w:t xml:space="preserve"> in SSB</w:t>
      </w:r>
      <w:r>
        <w:rPr>
          <w:rFonts w:hint="eastAsia"/>
        </w:rPr>
        <w:t xml:space="preserve">, the PEI may be </w:t>
      </w:r>
      <w:r>
        <w:t xml:space="preserve">falsely </w:t>
      </w:r>
      <w:r>
        <w:rPr>
          <w:rFonts w:hint="eastAsia"/>
        </w:rPr>
        <w:t xml:space="preserve">taken as an SSS by other UEs, which </w:t>
      </w:r>
      <w:r>
        <w:t>will</w:t>
      </w:r>
      <w:r>
        <w:rPr>
          <w:rFonts w:hint="eastAsia"/>
        </w:rPr>
        <w:t xml:space="preserve"> impact the initial access procedure </w:t>
      </w:r>
      <w:r>
        <w:t>and</w:t>
      </w:r>
      <w:r>
        <w:rPr>
          <w:rFonts w:hint="eastAsia"/>
        </w:rPr>
        <w:t xml:space="preserve"> </w:t>
      </w:r>
      <w:r>
        <w:t>neighbor</w:t>
      </w:r>
      <w:r>
        <w:rPr>
          <w:rFonts w:hint="eastAsia"/>
        </w:rPr>
        <w:t xml:space="preserve"> cell measurement of legacy UE</w:t>
      </w:r>
      <w:r>
        <w:t>s</w:t>
      </w:r>
      <w:r>
        <w:rPr>
          <w:rFonts w:hint="eastAsia"/>
        </w:rPr>
        <w:t xml:space="preserve">. Hence, how to ensure that the functionality of existing SSS is not affected </w:t>
      </w:r>
      <w:r>
        <w:t xml:space="preserve">by the SSS-like PEI </w:t>
      </w:r>
      <w:r>
        <w:rPr>
          <w:rFonts w:hint="eastAsia"/>
        </w:rPr>
        <w:t xml:space="preserve">is a problem that cannot be ignored. </w:t>
      </w:r>
    </w:p>
    <w:p w:rsidR="00807327" w:rsidRDefault="00AC0ED4">
      <w:pPr>
        <w:pStyle w:val="YJ-Observation"/>
        <w:spacing w:before="120" w:after="120"/>
        <w:jc w:val="both"/>
      </w:pPr>
      <w:bookmarkStart w:id="28" w:name="_Toc3676"/>
      <w:bookmarkStart w:id="29" w:name="_Toc32048"/>
      <w:r>
        <w:rPr>
          <w:rFonts w:hint="eastAsia"/>
          <w:i w:val="0"/>
          <w:iCs w:val="0"/>
          <w:sz w:val="21"/>
          <w:szCs w:val="21"/>
        </w:rPr>
        <w:t>SSS</w:t>
      </w:r>
      <w:r>
        <w:rPr>
          <w:rFonts w:hint="eastAsia"/>
          <w:i w:val="0"/>
          <w:iCs w:val="0"/>
          <w:sz w:val="21"/>
          <w:szCs w:val="21"/>
          <w:lang w:val="en-US" w:eastAsia="zh-CN"/>
        </w:rPr>
        <w:t>-based PEI</w:t>
      </w:r>
      <w:r>
        <w:rPr>
          <w:rFonts w:hint="eastAsia"/>
          <w:i w:val="0"/>
          <w:iCs w:val="0"/>
          <w:sz w:val="21"/>
          <w:szCs w:val="21"/>
        </w:rPr>
        <w:t xml:space="preserve"> may impact the initial access procedure </w:t>
      </w:r>
      <w:r>
        <w:rPr>
          <w:i w:val="0"/>
          <w:iCs w:val="0"/>
          <w:sz w:val="21"/>
          <w:szCs w:val="21"/>
        </w:rPr>
        <w:t>and</w:t>
      </w:r>
      <w:r>
        <w:rPr>
          <w:rFonts w:hint="eastAsia"/>
          <w:i w:val="0"/>
          <w:iCs w:val="0"/>
          <w:sz w:val="21"/>
          <w:szCs w:val="21"/>
        </w:rPr>
        <w:t xml:space="preserve"> </w:t>
      </w:r>
      <w:r>
        <w:rPr>
          <w:i w:val="0"/>
          <w:iCs w:val="0"/>
          <w:sz w:val="21"/>
          <w:szCs w:val="21"/>
        </w:rPr>
        <w:t>neighbour</w:t>
      </w:r>
      <w:r>
        <w:rPr>
          <w:rFonts w:hint="eastAsia"/>
          <w:i w:val="0"/>
          <w:iCs w:val="0"/>
          <w:sz w:val="21"/>
          <w:szCs w:val="21"/>
        </w:rPr>
        <w:t xml:space="preserve"> cell measurement of legacy UE</w:t>
      </w:r>
      <w:r>
        <w:rPr>
          <w:i w:val="0"/>
          <w:iCs w:val="0"/>
          <w:sz w:val="21"/>
          <w:szCs w:val="21"/>
        </w:rPr>
        <w:t>s</w:t>
      </w:r>
      <w:r>
        <w:rPr>
          <w:rFonts w:hint="eastAsia"/>
          <w:i w:val="0"/>
          <w:iCs w:val="0"/>
          <w:sz w:val="21"/>
          <w:szCs w:val="21"/>
        </w:rPr>
        <w:t>.</w:t>
      </w:r>
      <w:bookmarkEnd w:id="28"/>
      <w:bookmarkEnd w:id="29"/>
      <w:r>
        <w:rPr>
          <w:rFonts w:hint="eastAsia"/>
          <w:i w:val="0"/>
          <w:iCs w:val="0"/>
          <w:sz w:val="21"/>
          <w:szCs w:val="21"/>
        </w:rPr>
        <w:t xml:space="preserve"> </w:t>
      </w:r>
    </w:p>
    <w:p w:rsidR="00807327" w:rsidRDefault="00807327">
      <w:pPr>
        <w:spacing w:before="120" w:after="120" w:line="260" w:lineRule="auto"/>
      </w:pPr>
    </w:p>
    <w:p w:rsidR="00807327" w:rsidRDefault="00AC0ED4">
      <w:pPr>
        <w:numPr>
          <w:ilvl w:val="0"/>
          <w:numId w:val="13"/>
        </w:numPr>
        <w:spacing w:before="120" w:after="120" w:line="260" w:lineRule="auto"/>
        <w:rPr>
          <w:b/>
          <w:bCs/>
        </w:rPr>
      </w:pPr>
      <w:r>
        <w:rPr>
          <w:rFonts w:hint="eastAsia"/>
          <w:b/>
          <w:bCs/>
        </w:rPr>
        <w:t>Resource overhead</w:t>
      </w:r>
    </w:p>
    <w:p w:rsidR="00807327" w:rsidRDefault="00AC0ED4">
      <w:pPr>
        <w:spacing w:before="120" w:after="120" w:line="260" w:lineRule="auto"/>
      </w:pPr>
      <w:r>
        <w:rPr>
          <w:rFonts w:hint="eastAsia"/>
        </w:rPr>
        <w:t xml:space="preserve">According to the analysis above, </w:t>
      </w:r>
      <w:r>
        <w:t>due to the co-existence issue of</w:t>
      </w:r>
      <w:r>
        <w:rPr>
          <w:rFonts w:hint="eastAsia"/>
        </w:rPr>
        <w:t xml:space="preserve"> SSS-based PEI, network </w:t>
      </w:r>
      <w:r>
        <w:t>may need</w:t>
      </w:r>
      <w:r>
        <w:rPr>
          <w:rFonts w:hint="eastAsia"/>
        </w:rPr>
        <w:t xml:space="preserve"> to always reserve the resources </w:t>
      </w:r>
      <w:r>
        <w:t>for</w:t>
      </w:r>
      <w:r>
        <w:rPr>
          <w:rFonts w:hint="eastAsia"/>
        </w:rPr>
        <w:t xml:space="preserve"> SSS-based PEI via semi-static rate matching. Hence, the resources of SSS-based PEI will be always occupied. </w:t>
      </w:r>
    </w:p>
    <w:p w:rsidR="00807327" w:rsidRDefault="00AC0ED4">
      <w:pPr>
        <w:spacing w:before="120" w:after="120" w:line="260" w:lineRule="auto"/>
      </w:pPr>
      <w:r>
        <w:rPr>
          <w:rFonts w:hint="eastAsia"/>
        </w:rPr>
        <w:t>Besides, to carry</w:t>
      </w:r>
      <w:r>
        <w:t xml:space="preserve"> other</w:t>
      </w:r>
      <w:r>
        <w:rPr>
          <w:rFonts w:hint="eastAsia"/>
        </w:rPr>
        <w:t xml:space="preserve"> information, such as sub-grouping, </w:t>
      </w:r>
      <w:r>
        <w:t>multiple</w:t>
      </w:r>
      <w:r>
        <w:rPr>
          <w:rFonts w:hint="eastAsia"/>
        </w:rPr>
        <w:t xml:space="preserve"> POs,</w:t>
      </w:r>
      <w:r w:rsidR="00830AD9">
        <w:rPr>
          <w:rFonts w:hint="eastAsia"/>
        </w:rPr>
        <w:t xml:space="preserve"> TRS availability indication (WA</w:t>
      </w:r>
      <w:r>
        <w:rPr>
          <w:rFonts w:hint="eastAsia"/>
        </w:rPr>
        <w:t xml:space="preserve">), </w:t>
      </w:r>
      <w:r>
        <w:t>the design of</w:t>
      </w:r>
      <w:r>
        <w:rPr>
          <w:rFonts w:hint="eastAsia"/>
        </w:rPr>
        <w:t xml:space="preserve"> PEI should be considered. If CDM</w:t>
      </w:r>
      <w:r>
        <w:t>-ed PEI</w:t>
      </w:r>
      <w:r>
        <w:rPr>
          <w:rFonts w:hint="eastAsia"/>
        </w:rPr>
        <w:t xml:space="preserve"> is used, the performance of SSS-based PEI will be deteriorated with the increased blind detection. Therefore</w:t>
      </w:r>
      <w:r>
        <w:t>,</w:t>
      </w:r>
      <w:r>
        <w:rPr>
          <w:rFonts w:hint="eastAsia"/>
        </w:rPr>
        <w:t xml:space="preserve"> the TDMed/FDMed SSS-based PEI can be used, which will further increase the resource overhead. </w:t>
      </w:r>
    </w:p>
    <w:p w:rsidR="00807327" w:rsidRDefault="00AC0ED4">
      <w:pPr>
        <w:spacing w:before="120" w:after="120" w:line="260" w:lineRule="auto"/>
      </w:pPr>
      <w:r>
        <w:rPr>
          <w:rFonts w:hint="eastAsia"/>
        </w:rPr>
        <w:t>PDCCH-based PEI can coexist with legacy signals</w:t>
      </w:r>
      <w:r>
        <w:t>/channels</w:t>
      </w:r>
      <w:r>
        <w:rPr>
          <w:rFonts w:hint="eastAsia"/>
        </w:rPr>
        <w:t xml:space="preserve"> dynamically and has more bits to carry information, therefore</w:t>
      </w:r>
      <w:r w:rsidR="007C6B6F">
        <w:t>,</w:t>
      </w:r>
      <w:r>
        <w:rPr>
          <w:rFonts w:hint="eastAsia"/>
        </w:rPr>
        <w:t xml:space="preserve"> PDCCH-based PEI has less resource overhead.</w:t>
      </w:r>
    </w:p>
    <w:p w:rsidR="00807327" w:rsidRDefault="00AC0ED4">
      <w:pPr>
        <w:pStyle w:val="YJ-Observation"/>
        <w:spacing w:before="120" w:after="120"/>
        <w:jc w:val="both"/>
        <w:rPr>
          <w:i w:val="0"/>
          <w:iCs w:val="0"/>
        </w:rPr>
      </w:pPr>
      <w:bookmarkStart w:id="30" w:name="_Toc12144"/>
      <w:bookmarkStart w:id="31" w:name="_Toc31189"/>
      <w:r>
        <w:rPr>
          <w:rFonts w:hint="eastAsia"/>
          <w:i w:val="0"/>
          <w:iCs w:val="0"/>
        </w:rPr>
        <w:t>PDCCH-based PEI has less resource overhead</w:t>
      </w:r>
      <w:r>
        <w:rPr>
          <w:rFonts w:hint="eastAsia"/>
          <w:i w:val="0"/>
          <w:iCs w:val="0"/>
          <w:lang w:val="en-US" w:eastAsia="zh-CN"/>
        </w:rPr>
        <w:t>.</w:t>
      </w:r>
      <w:bookmarkEnd w:id="30"/>
      <w:bookmarkEnd w:id="31"/>
    </w:p>
    <w:p w:rsidR="00807327" w:rsidRDefault="00807327">
      <w:pPr>
        <w:spacing w:before="120" w:after="120" w:line="260" w:lineRule="auto"/>
      </w:pPr>
    </w:p>
    <w:p w:rsidR="00807327" w:rsidRDefault="00AC0ED4">
      <w:pPr>
        <w:numPr>
          <w:ilvl w:val="0"/>
          <w:numId w:val="13"/>
        </w:numPr>
        <w:spacing w:before="120" w:after="120" w:line="260" w:lineRule="auto"/>
        <w:rPr>
          <w:b/>
          <w:bCs/>
        </w:rPr>
      </w:pPr>
      <w:r>
        <w:rPr>
          <w:rFonts w:hint="eastAsia"/>
          <w:b/>
          <w:bCs/>
        </w:rPr>
        <w:t>Workload</w:t>
      </w:r>
    </w:p>
    <w:p w:rsidR="00807327" w:rsidRDefault="00AC0ED4">
      <w:pPr>
        <w:spacing w:before="120" w:after="120" w:line="260" w:lineRule="auto"/>
      </w:pPr>
      <w:r>
        <w:rPr>
          <w:rFonts w:hint="eastAsia"/>
        </w:rPr>
        <w:lastRenderedPageBreak/>
        <w:t xml:space="preserve">For PDCCH-based PEI, a DCI format similar to DCI format 2-6 can be considered. Regarding the design of search space set and CORESET, the resources of legacy DCI format can be reused. </w:t>
      </w:r>
    </w:p>
    <w:p w:rsidR="00807327" w:rsidRDefault="00AC0ED4">
      <w:pPr>
        <w:spacing w:before="120" w:after="120" w:line="260" w:lineRule="auto"/>
      </w:pPr>
      <w:r>
        <w:rPr>
          <w:rFonts w:hint="eastAsia"/>
        </w:rPr>
        <w:t xml:space="preserve">While for SSS-based PEI, </w:t>
      </w:r>
      <w:r w:rsidR="007C6B6F">
        <w:t>the</w:t>
      </w:r>
      <w:r>
        <w:rPr>
          <w:rFonts w:hint="eastAsia"/>
        </w:rPr>
        <w:t xml:space="preserve"> PEI needs two or more symbols to </w:t>
      </w:r>
      <w:r w:rsidR="007C6B6F">
        <w:t>fulfil</w:t>
      </w:r>
      <w:r>
        <w:rPr>
          <w:rFonts w:hint="eastAsia"/>
        </w:rPr>
        <w:t xml:space="preserve"> the performance requirement. Compared with the legacy SSS mapping, new pattern is needed. Moreover, a careful design of sequence generation and resource mapping for SSS-like PEI is needed to avoid impact on initial access, RRM measurement, and neighbour cell interference. It is clear that the workload of the design of SSS-based PEI is much heavier. </w:t>
      </w:r>
    </w:p>
    <w:p w:rsidR="00807327" w:rsidRDefault="00AC0ED4">
      <w:pPr>
        <w:spacing w:before="120" w:after="120" w:line="260" w:lineRule="auto"/>
      </w:pPr>
      <w:r>
        <w:rPr>
          <w:rFonts w:hint="eastAsia"/>
        </w:rPr>
        <w:t>What</w:t>
      </w:r>
      <w:r>
        <w:t>’</w:t>
      </w:r>
      <w:r>
        <w:rPr>
          <w:rFonts w:hint="eastAsia"/>
        </w:rPr>
        <w:t xml:space="preserve">s more, </w:t>
      </w:r>
      <w:r>
        <w:t>s</w:t>
      </w:r>
      <w:r>
        <w:rPr>
          <w:rFonts w:hint="eastAsia"/>
        </w:rPr>
        <w:t xml:space="preserve">ub-grouping is an important power saving scheme for idle/inactive UE which can be used to reduce the paging false alarming rate. According to the previous agreements, the maximum number of subgroups per PO is 8. According to </w:t>
      </w:r>
      <w:r>
        <w:t>the above</w:t>
      </w:r>
      <w:r>
        <w:rPr>
          <w:rFonts w:hint="eastAsia"/>
        </w:rPr>
        <w:t xml:space="preserve"> analysis, it is clear that the sub-grouping should </w:t>
      </w:r>
      <w:r>
        <w:t xml:space="preserve">be </w:t>
      </w:r>
      <w:r>
        <w:rPr>
          <w:rFonts w:hint="eastAsia"/>
        </w:rPr>
        <w:t xml:space="preserve">carried by PEI. For PDCCH-based PEI, it is straightforward to carry sub-group information via the DCI bits, which </w:t>
      </w:r>
      <w:r>
        <w:t>has been</w:t>
      </w:r>
      <w:r>
        <w:rPr>
          <w:rFonts w:hint="eastAsia"/>
        </w:rPr>
        <w:t xml:space="preserve"> agreed in RAN1-#105. </w:t>
      </w:r>
    </w:p>
    <w:tbl>
      <w:tblPr>
        <w:tblStyle w:val="ac"/>
        <w:tblW w:w="0" w:type="auto"/>
        <w:tblLook w:val="04A0" w:firstRow="1" w:lastRow="0" w:firstColumn="1" w:lastColumn="0" w:noHBand="0" w:noVBand="1"/>
      </w:tblPr>
      <w:tblGrid>
        <w:gridCol w:w="9876"/>
      </w:tblGrid>
      <w:tr w:rsidR="00807327">
        <w:tc>
          <w:tcPr>
            <w:tcW w:w="9876" w:type="dxa"/>
          </w:tcPr>
          <w:p w:rsidR="00807327" w:rsidRDefault="00AC0ED4">
            <w:pPr>
              <w:spacing w:beforeLines="0" w:before="120" w:afterLines="0" w:after="0"/>
              <w:rPr>
                <w:kern w:val="0"/>
                <w:szCs w:val="21"/>
                <w:highlight w:val="green"/>
              </w:rPr>
            </w:pPr>
            <w:r>
              <w:rPr>
                <w:szCs w:val="21"/>
                <w:highlight w:val="green"/>
              </w:rPr>
              <w:t>Agreement in RAN1#105:</w:t>
            </w:r>
          </w:p>
          <w:p w:rsidR="00807327" w:rsidRDefault="00AC0ED4">
            <w:pPr>
              <w:spacing w:beforeLines="0" w:before="0" w:afterLines="0" w:after="0"/>
              <w:rPr>
                <w:szCs w:val="21"/>
              </w:rPr>
            </w:pPr>
            <w:r>
              <w:rPr>
                <w:szCs w:val="21"/>
              </w:rPr>
              <w:t>For paging indication to the subgroups in a PO,</w:t>
            </w:r>
          </w:p>
          <w:p w:rsidR="00807327" w:rsidRDefault="00AC0ED4">
            <w:pPr>
              <w:pStyle w:val="ListParagraph1"/>
              <w:numPr>
                <w:ilvl w:val="0"/>
                <w:numId w:val="14"/>
              </w:numPr>
              <w:spacing w:before="0" w:beforeAutospacing="0" w:after="0" w:afterAutospacing="0"/>
              <w:rPr>
                <w:sz w:val="21"/>
                <w:szCs w:val="21"/>
              </w:rPr>
            </w:pPr>
            <w:r>
              <w:rPr>
                <w:sz w:val="21"/>
                <w:szCs w:val="21"/>
              </w:rPr>
              <w:t>For PDCCH-based PEI, subgroups in a PO are indicated by one PEI</w:t>
            </w:r>
          </w:p>
          <w:p w:rsidR="00807327" w:rsidRDefault="00AC0ED4">
            <w:pPr>
              <w:pStyle w:val="ListParagraph1"/>
              <w:numPr>
                <w:ilvl w:val="1"/>
                <w:numId w:val="14"/>
              </w:numPr>
              <w:spacing w:before="0" w:beforeAutospacing="0" w:after="0" w:afterAutospacing="0"/>
              <w:rPr>
                <w:sz w:val="21"/>
                <w:szCs w:val="21"/>
              </w:rPr>
            </w:pPr>
            <w:r>
              <w:rPr>
                <w:sz w:val="21"/>
                <w:szCs w:val="21"/>
              </w:rPr>
              <w:t xml:space="preserve">One bit in the DCI payload indicating one UE subgroup is supported </w:t>
            </w:r>
          </w:p>
          <w:p w:rsidR="00807327" w:rsidRDefault="00AC0ED4">
            <w:pPr>
              <w:pStyle w:val="ListParagraph1"/>
              <w:numPr>
                <w:ilvl w:val="2"/>
                <w:numId w:val="14"/>
              </w:numPr>
              <w:spacing w:before="0" w:beforeAutospacing="0" w:after="0" w:afterAutospacing="0"/>
              <w:rPr>
                <w:sz w:val="21"/>
                <w:szCs w:val="21"/>
              </w:rPr>
            </w:pPr>
            <w:r>
              <w:rPr>
                <w:b/>
                <w:bCs/>
                <w:sz w:val="21"/>
                <w:szCs w:val="21"/>
              </w:rPr>
              <w:t>FFS</w:t>
            </w:r>
            <w:r>
              <w:rPr>
                <w:sz w:val="21"/>
                <w:szCs w:val="21"/>
              </w:rPr>
              <w:t>: Whether code-point based mapping is utilized, and, if so, how to map to the subgroups in a PO</w:t>
            </w:r>
          </w:p>
          <w:p w:rsidR="00807327" w:rsidRDefault="00AC0ED4">
            <w:pPr>
              <w:pStyle w:val="ListParagraph1"/>
              <w:numPr>
                <w:ilvl w:val="0"/>
                <w:numId w:val="14"/>
              </w:numPr>
              <w:spacing w:before="0" w:beforeAutospacing="0" w:after="0" w:afterAutospacing="0"/>
              <w:rPr>
                <w:sz w:val="21"/>
                <w:szCs w:val="21"/>
              </w:rPr>
            </w:pPr>
            <w:r>
              <w:rPr>
                <w:sz w:val="21"/>
                <w:szCs w:val="21"/>
              </w:rPr>
              <w:t>For SSS-based PEI, subgroups in a PO are indicated by a set of sequence realizations</w:t>
            </w:r>
          </w:p>
          <w:p w:rsidR="00807327" w:rsidRDefault="00AC0ED4">
            <w:pPr>
              <w:pStyle w:val="ListParagraph1"/>
              <w:numPr>
                <w:ilvl w:val="1"/>
                <w:numId w:val="14"/>
              </w:numPr>
              <w:spacing w:before="0" w:beforeAutospacing="0" w:after="0" w:afterAutospacing="0"/>
              <w:rPr>
                <w:sz w:val="21"/>
                <w:szCs w:val="21"/>
              </w:rPr>
            </w:pPr>
            <w:r>
              <w:rPr>
                <w:b/>
                <w:bCs/>
                <w:sz w:val="21"/>
                <w:szCs w:val="21"/>
              </w:rPr>
              <w:t>FFS</w:t>
            </w:r>
            <w:r>
              <w:rPr>
                <w:sz w:val="21"/>
                <w:szCs w:val="21"/>
              </w:rPr>
              <w:t>: Sequence mapping design for supporting up to 8 subgroups per PO</w:t>
            </w:r>
          </w:p>
          <w:p w:rsidR="00807327" w:rsidRDefault="00AC0ED4">
            <w:pPr>
              <w:pStyle w:val="ListParagraph1"/>
              <w:numPr>
                <w:ilvl w:val="1"/>
                <w:numId w:val="14"/>
              </w:numPr>
              <w:spacing w:before="0" w:beforeAutospacing="0" w:after="0" w:afterAutospacing="0"/>
              <w:rPr>
                <w:sz w:val="21"/>
                <w:szCs w:val="21"/>
              </w:rPr>
            </w:pPr>
            <w:r>
              <w:rPr>
                <w:sz w:val="21"/>
                <w:szCs w:val="21"/>
              </w:rPr>
              <w:t>Physical-layer configuration(s) and sequence generation design are subject to no impact to initial access and RRM measurements of legacy UEs</w:t>
            </w:r>
          </w:p>
          <w:p w:rsidR="00807327" w:rsidRDefault="00807327">
            <w:pPr>
              <w:pStyle w:val="ListParagraph1"/>
              <w:spacing w:before="0" w:beforeAutospacing="0" w:after="0" w:afterAutospacing="0"/>
              <w:ind w:left="2160"/>
              <w:rPr>
                <w:sz w:val="20"/>
                <w:szCs w:val="20"/>
              </w:rPr>
            </w:pPr>
          </w:p>
        </w:tc>
      </w:tr>
    </w:tbl>
    <w:p w:rsidR="00807327" w:rsidRDefault="00807327">
      <w:pPr>
        <w:spacing w:before="120" w:after="120" w:line="260" w:lineRule="auto"/>
      </w:pPr>
    </w:p>
    <w:p w:rsidR="00807327" w:rsidRDefault="00AC0ED4">
      <w:pPr>
        <w:spacing w:before="120" w:after="120" w:line="260" w:lineRule="auto"/>
      </w:pPr>
      <w:r>
        <w:rPr>
          <w:rFonts w:hint="eastAsia"/>
        </w:rPr>
        <w:t>However, for SSS-like PEI, how to carry sub-grouping information is FFS, more work</w:t>
      </w:r>
      <w:r>
        <w:t>load</w:t>
      </w:r>
      <w:r>
        <w:rPr>
          <w:rFonts w:hint="eastAsia"/>
        </w:rPr>
        <w:t xml:space="preserve"> </w:t>
      </w:r>
      <w:r>
        <w:t>is</w:t>
      </w:r>
      <w:r>
        <w:rPr>
          <w:rFonts w:hint="eastAsia"/>
        </w:rPr>
        <w:t xml:space="preserve"> required.</w:t>
      </w:r>
    </w:p>
    <w:p w:rsidR="00807327" w:rsidRDefault="00AC0ED4">
      <w:pPr>
        <w:spacing w:before="120" w:after="120" w:line="260" w:lineRule="auto"/>
        <w:rPr>
          <w:szCs w:val="21"/>
        </w:rPr>
      </w:pPr>
      <w:r>
        <w:rPr>
          <w:rFonts w:hint="eastAsia"/>
          <w:szCs w:val="21"/>
        </w:rPr>
        <w:t xml:space="preserve">Therefore, compared with SSS-based PEI, PDCCH-based PEI </w:t>
      </w:r>
      <w:r>
        <w:rPr>
          <w:szCs w:val="21"/>
        </w:rPr>
        <w:t xml:space="preserve">requires </w:t>
      </w:r>
      <w:r>
        <w:rPr>
          <w:rFonts w:hint="eastAsia"/>
          <w:szCs w:val="21"/>
        </w:rPr>
        <w:t xml:space="preserve">less </w:t>
      </w:r>
      <w:r>
        <w:rPr>
          <w:szCs w:val="21"/>
        </w:rPr>
        <w:t>standardization</w:t>
      </w:r>
      <w:r>
        <w:rPr>
          <w:rFonts w:hint="eastAsia"/>
          <w:szCs w:val="21"/>
        </w:rPr>
        <w:t xml:space="preserve"> workload.</w:t>
      </w:r>
      <w:r>
        <w:rPr>
          <w:szCs w:val="21"/>
        </w:rPr>
        <w:t xml:space="preserve"> Note the workload is an important aspect considering there are only two RAN1 meetings left.</w:t>
      </w:r>
    </w:p>
    <w:p w:rsidR="00807327" w:rsidRDefault="00AC0ED4">
      <w:pPr>
        <w:pStyle w:val="YJ-Observation"/>
        <w:spacing w:before="120" w:after="120" w:line="260" w:lineRule="auto"/>
        <w:jc w:val="both"/>
        <w:rPr>
          <w:i w:val="0"/>
          <w:iCs w:val="0"/>
          <w:sz w:val="21"/>
          <w:szCs w:val="21"/>
          <w:lang w:val="en-US" w:eastAsia="zh-CN"/>
        </w:rPr>
      </w:pPr>
      <w:bookmarkStart w:id="32" w:name="_Toc27048"/>
      <w:bookmarkStart w:id="33" w:name="_Toc27913"/>
      <w:r>
        <w:rPr>
          <w:rFonts w:hint="eastAsia"/>
          <w:i w:val="0"/>
          <w:iCs w:val="0"/>
          <w:sz w:val="21"/>
          <w:szCs w:val="21"/>
          <w:lang w:eastAsia="zh-CN"/>
        </w:rPr>
        <w:t>PDCCH-based</w:t>
      </w:r>
      <w:r>
        <w:rPr>
          <w:rFonts w:hint="eastAsia"/>
          <w:i w:val="0"/>
          <w:iCs w:val="0"/>
          <w:sz w:val="21"/>
          <w:szCs w:val="21"/>
        </w:rPr>
        <w:t xml:space="preserve"> PEI </w:t>
      </w:r>
      <w:r>
        <w:rPr>
          <w:i w:val="0"/>
          <w:szCs w:val="21"/>
        </w:rPr>
        <w:t xml:space="preserve">requires </w:t>
      </w:r>
      <w:r>
        <w:rPr>
          <w:rFonts w:hint="eastAsia"/>
          <w:i w:val="0"/>
          <w:iCs w:val="0"/>
          <w:sz w:val="21"/>
          <w:szCs w:val="21"/>
        </w:rPr>
        <w:t xml:space="preserve">less </w:t>
      </w:r>
      <w:r>
        <w:rPr>
          <w:i w:val="0"/>
          <w:szCs w:val="21"/>
        </w:rPr>
        <w:t>standardization</w:t>
      </w:r>
      <w:r>
        <w:rPr>
          <w:rFonts w:hint="eastAsia"/>
          <w:i w:val="0"/>
          <w:iCs w:val="0"/>
          <w:sz w:val="21"/>
          <w:szCs w:val="21"/>
        </w:rPr>
        <w:t xml:space="preserve"> workload</w:t>
      </w:r>
      <w:r>
        <w:rPr>
          <w:rFonts w:hint="eastAsia"/>
          <w:i w:val="0"/>
          <w:iCs w:val="0"/>
          <w:sz w:val="21"/>
          <w:szCs w:val="21"/>
          <w:lang w:val="en-US" w:eastAsia="zh-CN"/>
        </w:rPr>
        <w:t>.</w:t>
      </w:r>
      <w:bookmarkEnd w:id="32"/>
      <w:bookmarkEnd w:id="33"/>
    </w:p>
    <w:p w:rsidR="00807327" w:rsidRDefault="00AC0ED4">
      <w:pPr>
        <w:spacing w:before="120" w:after="120" w:line="260" w:lineRule="auto"/>
      </w:pPr>
      <w:r>
        <w:rPr>
          <w:rFonts w:hint="eastAsia"/>
        </w:rPr>
        <w:t>Based on the above analysis, PDCCH-based PEI has more advantages than SSS-based PEI in all aspects, so PDCCH-based PEI should be supported.</w:t>
      </w:r>
    </w:p>
    <w:p w:rsidR="00807327" w:rsidRDefault="00AC0ED4">
      <w:pPr>
        <w:pStyle w:val="YJ-Proposal"/>
        <w:spacing w:before="120" w:after="120"/>
        <w:jc w:val="both"/>
        <w:rPr>
          <w:i w:val="0"/>
          <w:iCs w:val="0"/>
        </w:rPr>
      </w:pPr>
      <w:bookmarkStart w:id="34" w:name="_Toc6127"/>
      <w:bookmarkStart w:id="35" w:name="_Toc17153"/>
      <w:bookmarkStart w:id="36" w:name="_Toc23246"/>
      <w:r>
        <w:rPr>
          <w:i w:val="0"/>
          <w:iCs w:val="0"/>
        </w:rPr>
        <w:t>A</w:t>
      </w:r>
      <w:r w:rsidR="00A10855">
        <w:rPr>
          <w:rFonts w:hint="eastAsia"/>
          <w:i w:val="0"/>
          <w:iCs w:val="0"/>
        </w:rPr>
        <w:t>dopt</w:t>
      </w:r>
      <w:r>
        <w:rPr>
          <w:rFonts w:hint="eastAsia"/>
          <w:i w:val="0"/>
          <w:iCs w:val="0"/>
        </w:rPr>
        <w:t xml:space="preserve"> PDCCH-based PEI </w:t>
      </w:r>
      <w:r>
        <w:rPr>
          <w:i w:val="0"/>
          <w:iCs w:val="0"/>
        </w:rPr>
        <w:t>in Rel-17 UE power saving enhancement</w:t>
      </w:r>
      <w:r>
        <w:rPr>
          <w:rFonts w:hint="eastAsia"/>
          <w:i w:val="0"/>
          <w:iCs w:val="0"/>
        </w:rPr>
        <w:t>.</w:t>
      </w:r>
      <w:bookmarkEnd w:id="34"/>
      <w:bookmarkEnd w:id="35"/>
      <w:bookmarkEnd w:id="36"/>
    </w:p>
    <w:p w:rsidR="00807327" w:rsidRDefault="00AC0ED4">
      <w:pPr>
        <w:pStyle w:val="1"/>
        <w:spacing w:before="120" w:after="120"/>
        <w:ind w:left="0"/>
        <w:rPr>
          <w:rFonts w:ascii="Times New Roman" w:hAnsi="Times New Roman"/>
          <w:sz w:val="20"/>
          <w:szCs w:val="21"/>
        </w:rPr>
      </w:pPr>
      <w:r>
        <w:rPr>
          <w:rFonts w:ascii="Times New Roman" w:eastAsia="宋体" w:hAnsi="Times New Roman" w:hint="eastAsia"/>
          <w:b/>
          <w:sz w:val="24"/>
          <w:szCs w:val="24"/>
        </w:rPr>
        <w:t>TU for RAN3</w:t>
      </w:r>
    </w:p>
    <w:p w:rsidR="00807327" w:rsidRDefault="00AC0ED4">
      <w:pPr>
        <w:spacing w:before="120" w:after="120"/>
        <w:rPr>
          <w:szCs w:val="21"/>
        </w:rPr>
      </w:pPr>
      <w:r>
        <w:rPr>
          <w:rFonts w:hint="eastAsia"/>
          <w:szCs w:val="21"/>
        </w:rPr>
        <w:t>In addition, there is an LS from RAN3 to request the TU for discussion sub-grouping, the details can be seen as below [7]:</w:t>
      </w:r>
    </w:p>
    <w:tbl>
      <w:tblPr>
        <w:tblStyle w:val="ac"/>
        <w:tblW w:w="0" w:type="auto"/>
        <w:tblLook w:val="04A0" w:firstRow="1" w:lastRow="0" w:firstColumn="1" w:lastColumn="0" w:noHBand="0" w:noVBand="1"/>
      </w:tblPr>
      <w:tblGrid>
        <w:gridCol w:w="9876"/>
      </w:tblGrid>
      <w:tr w:rsidR="00807327">
        <w:tc>
          <w:tcPr>
            <w:tcW w:w="9876" w:type="dxa"/>
          </w:tcPr>
          <w:p w:rsidR="00807327" w:rsidRDefault="00AC0ED4">
            <w:pPr>
              <w:spacing w:before="120" w:after="120"/>
            </w:pPr>
            <w:r>
              <w:t xml:space="preserve">RAN3 has discussed at RAN3#113 meeting the potential impacts of the ongoing work item on UE Power Saving Enhancements. </w:t>
            </w:r>
          </w:p>
          <w:p w:rsidR="00807327" w:rsidRDefault="00807327">
            <w:pPr>
              <w:spacing w:before="120" w:after="120"/>
            </w:pPr>
          </w:p>
          <w:p w:rsidR="00807327" w:rsidRDefault="00AC0ED4">
            <w:pPr>
              <w:spacing w:before="120" w:after="120"/>
            </w:pPr>
            <w:r>
              <w:t>RAN3 identified that the following objective of the work item would impact the following RAN3 specifications TS 38.413, TS 38.423, TS 38.473 and involves discussions on handling several RAN3 procedures for RAN/CN and gNB-CU/gNB-DU coordination.</w:t>
            </w:r>
          </w:p>
          <w:p w:rsidR="00807327" w:rsidRDefault="00807327">
            <w:pPr>
              <w:spacing w:before="120" w:after="120"/>
            </w:pPr>
          </w:p>
          <w:p w:rsidR="00807327" w:rsidRDefault="00AC0ED4">
            <w:pPr>
              <w:numPr>
                <w:ilvl w:val="0"/>
                <w:numId w:val="8"/>
              </w:numPr>
              <w:overflowPunct w:val="0"/>
              <w:autoSpaceDE w:val="0"/>
              <w:autoSpaceDN w:val="0"/>
              <w:adjustRightInd w:val="0"/>
              <w:spacing w:before="120" w:after="120"/>
              <w:textAlignment w:val="baseline"/>
              <w:rPr>
                <w:rFonts w:eastAsia="Times New Roman"/>
                <w:lang w:eastAsia="zh-TW"/>
              </w:rPr>
            </w:pPr>
            <w:r>
              <w:rPr>
                <w:rFonts w:eastAsia="Times New Roman"/>
                <w:lang w:eastAsia="zh-TW"/>
              </w:rPr>
              <w:t xml:space="preserve">Specify enhancements for idle/inactive-mode UE power saving, considering system performance aspects </w:t>
            </w:r>
            <w:r>
              <w:rPr>
                <w:rFonts w:eastAsia="Times New Roman"/>
                <w:lang w:eastAsia="zh-TW"/>
              </w:rPr>
              <w:lastRenderedPageBreak/>
              <w:t>[RAN2, RAN1]</w:t>
            </w:r>
          </w:p>
          <w:p w:rsidR="00807327" w:rsidRDefault="00AC0ED4">
            <w:pPr>
              <w:numPr>
                <w:ilvl w:val="1"/>
                <w:numId w:val="8"/>
              </w:numPr>
              <w:overflowPunct w:val="0"/>
              <w:autoSpaceDE w:val="0"/>
              <w:autoSpaceDN w:val="0"/>
              <w:adjustRightInd w:val="0"/>
              <w:spacing w:before="120" w:after="120"/>
              <w:textAlignment w:val="baseline"/>
              <w:rPr>
                <w:rFonts w:eastAsia="Times New Roman"/>
                <w:lang w:eastAsia="zh-TW"/>
              </w:rPr>
            </w:pPr>
            <w:r>
              <w:rPr>
                <w:rFonts w:eastAsia="Times New Roman"/>
                <w:lang w:eastAsia="zh-TW"/>
              </w:rPr>
              <w:t>Study and specify paging enhancement(s) to reduce unnecessary UE paging receptions, subject to no impact to legacy UEs [RAN2, RAN1]</w:t>
            </w:r>
          </w:p>
          <w:p w:rsidR="00807327" w:rsidRDefault="00AC0ED4">
            <w:pPr>
              <w:spacing w:before="120" w:after="120"/>
            </w:pPr>
            <w:r>
              <w:t>RAN3 would like to kindly request RAN to update the work item and allocate to RAN3 proper TU(s) for RAN3 to complete the work on UE Power Saving Enhancements, taking into account the schedule capacity of RAN3 in the remaining meetings of Rel-17.</w:t>
            </w:r>
          </w:p>
          <w:p w:rsidR="00807327" w:rsidRDefault="00807327">
            <w:pPr>
              <w:spacing w:before="120" w:after="120"/>
            </w:pPr>
          </w:p>
        </w:tc>
      </w:tr>
    </w:tbl>
    <w:p w:rsidR="00807327" w:rsidRDefault="00AC0ED4">
      <w:pPr>
        <w:spacing w:before="120" w:after="120"/>
        <w:rPr>
          <w:szCs w:val="21"/>
        </w:rPr>
      </w:pPr>
      <w:r>
        <w:rPr>
          <w:rFonts w:hint="eastAsia"/>
          <w:szCs w:val="21"/>
        </w:rPr>
        <w:lastRenderedPageBreak/>
        <w:t>Considering power saving gain of the sub-grouping paging can be maximized when cooperating with the PEI, if proposal 2 is agreed, we suggest to update the WID to allocate RAN3 TU for the work on paging sub-grouping.</w:t>
      </w:r>
    </w:p>
    <w:p w:rsidR="00807327" w:rsidRDefault="00AC0ED4">
      <w:pPr>
        <w:pStyle w:val="YJ-Proposal"/>
        <w:spacing w:before="120" w:after="120"/>
        <w:rPr>
          <w:i w:val="0"/>
          <w:iCs w:val="0"/>
          <w:lang w:val="en-US" w:eastAsia="zh-CN"/>
        </w:rPr>
      </w:pPr>
      <w:bookmarkStart w:id="37" w:name="_Toc28720"/>
      <w:r>
        <w:rPr>
          <w:i w:val="0"/>
          <w:iCs w:val="0"/>
          <w:lang w:val="en-US" w:eastAsia="zh-CN"/>
        </w:rPr>
        <w:t>Update the WID to allocate proper TU(s) to RAN3 for paging sub</w:t>
      </w:r>
      <w:r>
        <w:rPr>
          <w:rFonts w:hint="eastAsia"/>
          <w:i w:val="0"/>
          <w:iCs w:val="0"/>
          <w:lang w:val="en-US" w:eastAsia="zh-CN"/>
        </w:rPr>
        <w:t>-</w:t>
      </w:r>
      <w:r>
        <w:rPr>
          <w:i w:val="0"/>
          <w:iCs w:val="0"/>
          <w:lang w:val="en-US" w:eastAsia="zh-CN"/>
        </w:rPr>
        <w:t>grouping conveyed by PDCCH based PEI</w:t>
      </w:r>
      <w:bookmarkEnd w:id="37"/>
    </w:p>
    <w:p w:rsidR="00807327" w:rsidRDefault="00AC0ED4">
      <w:pPr>
        <w:pStyle w:val="1"/>
        <w:spacing w:before="120" w:after="120"/>
        <w:ind w:left="0"/>
        <w:rPr>
          <w:rFonts w:ascii="Times New Roman" w:eastAsia="宋体" w:hAnsi="Times New Roman"/>
          <w:b/>
          <w:bCs/>
          <w:sz w:val="24"/>
          <w:szCs w:val="24"/>
        </w:rPr>
      </w:pPr>
      <w:r>
        <w:rPr>
          <w:rFonts w:ascii="Times New Roman" w:eastAsia="宋体" w:hAnsi="Times New Roman"/>
          <w:b/>
          <w:bCs/>
          <w:sz w:val="24"/>
          <w:szCs w:val="24"/>
        </w:rPr>
        <w:t>Conclusion</w:t>
      </w:r>
    </w:p>
    <w:p w:rsidR="00807327" w:rsidRDefault="00AC0ED4">
      <w:pPr>
        <w:spacing w:before="120" w:after="120"/>
        <w:rPr>
          <w:szCs w:val="22"/>
        </w:rPr>
      </w:pPr>
      <w:r>
        <w:rPr>
          <w:rFonts w:hint="eastAsia"/>
        </w:rPr>
        <w:t>In this contribution, we discuss the power saving enhancement schemes for paging. We have the following observations and proposals.</w:t>
      </w:r>
    </w:p>
    <w:p w:rsidR="00807327" w:rsidRDefault="00AC0ED4">
      <w:pPr>
        <w:pStyle w:val="10"/>
        <w:tabs>
          <w:tab w:val="clear" w:pos="0"/>
          <w:tab w:val="right" w:leader="dot" w:pos="9660"/>
        </w:tabs>
        <w:spacing w:before="120" w:after="120"/>
        <w:jc w:val="both"/>
      </w:pPr>
      <w:r>
        <w:rPr>
          <w:i w:val="0"/>
          <w:iCs w:val="0"/>
          <w:sz w:val="21"/>
          <w:szCs w:val="22"/>
        </w:rPr>
        <w:fldChar w:fldCharType="begin"/>
      </w:r>
      <w:r>
        <w:rPr>
          <w:i w:val="0"/>
          <w:iCs w:val="0"/>
          <w:sz w:val="21"/>
          <w:szCs w:val="22"/>
        </w:rPr>
        <w:instrText>TOC \n  \t "YJ-Observation,1,sub-observation,2,3rd level observation,3" \h</w:instrText>
      </w:r>
      <w:r>
        <w:rPr>
          <w:i w:val="0"/>
          <w:iCs w:val="0"/>
          <w:sz w:val="21"/>
          <w:szCs w:val="22"/>
        </w:rPr>
        <w:fldChar w:fldCharType="separate"/>
      </w:r>
      <w:hyperlink w:anchor="_Toc10534" w:history="1">
        <w:r>
          <w:rPr>
            <w:rFonts w:eastAsia="宋体"/>
            <w:i w:val="0"/>
            <w:iCs w:val="0"/>
            <w:szCs w:val="21"/>
          </w:rPr>
          <w:t xml:space="preserve">Observation 1: </w:t>
        </w:r>
        <w:r>
          <w:rPr>
            <w:rFonts w:hint="eastAsia"/>
            <w:i w:val="0"/>
            <w:iCs w:val="0"/>
            <w:szCs w:val="21"/>
          </w:rPr>
          <w:t xml:space="preserve">Based on the comparison </w:t>
        </w:r>
        <w:r>
          <w:rPr>
            <w:i w:val="0"/>
            <w:iCs w:val="0"/>
            <w:szCs w:val="21"/>
          </w:rPr>
          <w:t xml:space="preserve">of idle-mode </w:t>
        </w:r>
        <w:r>
          <w:rPr>
            <w:rFonts w:hint="eastAsia"/>
            <w:i w:val="0"/>
            <w:iCs w:val="0"/>
            <w:szCs w:val="21"/>
          </w:rPr>
          <w:t xml:space="preserve">power consumption between </w:t>
        </w:r>
        <w:r>
          <w:rPr>
            <w:i w:val="0"/>
            <w:iCs w:val="0"/>
            <w:szCs w:val="21"/>
          </w:rPr>
          <w:t xml:space="preserve">NR </w:t>
        </w:r>
        <w:r>
          <w:rPr>
            <w:rFonts w:hint="eastAsia"/>
            <w:i w:val="0"/>
            <w:iCs w:val="0"/>
            <w:szCs w:val="21"/>
          </w:rPr>
          <w:t xml:space="preserve">and LTE, it is necessary to </w:t>
        </w:r>
        <w:r>
          <w:rPr>
            <w:i w:val="0"/>
            <w:iCs w:val="0"/>
            <w:szCs w:val="21"/>
          </w:rPr>
          <w:t>enhance</w:t>
        </w:r>
        <w:r>
          <w:rPr>
            <w:rFonts w:hint="eastAsia"/>
            <w:i w:val="0"/>
            <w:iCs w:val="0"/>
            <w:szCs w:val="21"/>
          </w:rPr>
          <w:t xml:space="preserve"> paging </w:t>
        </w:r>
        <w:r>
          <w:rPr>
            <w:i w:val="0"/>
            <w:iCs w:val="0"/>
            <w:szCs w:val="21"/>
          </w:rPr>
          <w:t>reception</w:t>
        </w:r>
        <w:r>
          <w:rPr>
            <w:rFonts w:hint="eastAsia"/>
            <w:i w:val="0"/>
            <w:iCs w:val="0"/>
            <w:szCs w:val="21"/>
          </w:rPr>
          <w:t xml:space="preserve"> </w:t>
        </w:r>
        <w:r>
          <w:rPr>
            <w:i w:val="0"/>
            <w:iCs w:val="0"/>
            <w:szCs w:val="21"/>
          </w:rPr>
          <w:t xml:space="preserve">for </w:t>
        </w:r>
        <w:r>
          <w:rPr>
            <w:rFonts w:hint="eastAsia"/>
            <w:i w:val="0"/>
            <w:iCs w:val="0"/>
            <w:szCs w:val="21"/>
          </w:rPr>
          <w:t>idle</w:t>
        </w:r>
        <w:r>
          <w:rPr>
            <w:i w:val="0"/>
            <w:iCs w:val="0"/>
            <w:szCs w:val="21"/>
          </w:rPr>
          <w:t>/inactive</w:t>
        </w:r>
        <w:r>
          <w:rPr>
            <w:rFonts w:hint="eastAsia"/>
            <w:i w:val="0"/>
            <w:iCs w:val="0"/>
            <w:szCs w:val="21"/>
          </w:rPr>
          <w:t xml:space="preserve"> </w:t>
        </w:r>
        <w:r>
          <w:rPr>
            <w:i w:val="0"/>
            <w:iCs w:val="0"/>
            <w:szCs w:val="21"/>
          </w:rPr>
          <w:t>mode UE power saving in NR</w:t>
        </w:r>
        <w:r>
          <w:rPr>
            <w:rFonts w:hint="eastAsia"/>
            <w:i w:val="0"/>
            <w:iCs w:val="0"/>
            <w:szCs w:val="21"/>
          </w:rPr>
          <w:t>.</w:t>
        </w:r>
      </w:hyperlink>
    </w:p>
    <w:p w:rsidR="00807327" w:rsidRDefault="00673E0E">
      <w:pPr>
        <w:pStyle w:val="10"/>
        <w:tabs>
          <w:tab w:val="clear" w:pos="0"/>
          <w:tab w:val="right" w:leader="dot" w:pos="9660"/>
        </w:tabs>
        <w:spacing w:before="120" w:after="120"/>
        <w:jc w:val="both"/>
      </w:pPr>
      <w:hyperlink w:anchor="_Toc9983" w:history="1">
        <w:r w:rsidR="00AC0ED4">
          <w:rPr>
            <w:rFonts w:eastAsia="宋体"/>
            <w:i w:val="0"/>
            <w:iCs w:val="0"/>
            <w:szCs w:val="21"/>
          </w:rPr>
          <w:t xml:space="preserve">Observation 2: </w:t>
        </w:r>
        <w:r w:rsidR="00AC0ED4">
          <w:rPr>
            <w:i w:val="0"/>
            <w:iCs w:val="0"/>
          </w:rPr>
          <w:t>It has been agreed in RAN1 to introduce PEI and paging sub</w:t>
        </w:r>
        <w:r w:rsidR="00AC0ED4">
          <w:rPr>
            <w:rFonts w:hint="eastAsia"/>
            <w:i w:val="0"/>
            <w:iCs w:val="0"/>
          </w:rPr>
          <w:t>-</w:t>
        </w:r>
        <w:r w:rsidR="00AC0ED4">
          <w:rPr>
            <w:i w:val="0"/>
            <w:iCs w:val="0"/>
          </w:rPr>
          <w:t>grouping for paging enhancement.</w:t>
        </w:r>
        <w:r w:rsidR="00AC0ED4">
          <w:rPr>
            <w:rFonts w:hint="eastAsia"/>
            <w:i w:val="0"/>
            <w:iCs w:val="0"/>
          </w:rPr>
          <w:t xml:space="preserve"> </w:t>
        </w:r>
        <w:r w:rsidR="00AC0ED4">
          <w:rPr>
            <w:i w:val="0"/>
            <w:iCs w:val="0"/>
          </w:rPr>
          <w:t>If PEI is not introduced, RAN1 agreements will be reverted.</w:t>
        </w:r>
      </w:hyperlink>
    </w:p>
    <w:p w:rsidR="00807327" w:rsidRDefault="00673E0E">
      <w:pPr>
        <w:pStyle w:val="10"/>
        <w:tabs>
          <w:tab w:val="clear" w:pos="0"/>
          <w:tab w:val="right" w:leader="dot" w:pos="9660"/>
        </w:tabs>
        <w:spacing w:before="120" w:after="120"/>
        <w:jc w:val="both"/>
      </w:pPr>
      <w:hyperlink w:anchor="_Toc31382" w:history="1">
        <w:r w:rsidR="00AC0ED4">
          <w:rPr>
            <w:rFonts w:eastAsia="宋体"/>
            <w:i w:val="0"/>
            <w:iCs w:val="0"/>
            <w:szCs w:val="21"/>
          </w:rPr>
          <w:t xml:space="preserve">Observation 3: </w:t>
        </w:r>
        <w:r w:rsidR="00AC0ED4">
          <w:rPr>
            <w:rFonts w:hint="eastAsia"/>
            <w:i w:val="0"/>
            <w:iCs w:val="0"/>
          </w:rPr>
          <w:t xml:space="preserve">Without PEI, the power saving gain of </w:t>
        </w:r>
        <w:r w:rsidR="00AC0ED4">
          <w:rPr>
            <w:i w:val="0"/>
            <w:iCs w:val="0"/>
          </w:rPr>
          <w:t xml:space="preserve">paging </w:t>
        </w:r>
        <w:r w:rsidR="00AC0ED4">
          <w:rPr>
            <w:rFonts w:hint="eastAsia"/>
            <w:i w:val="0"/>
            <w:iCs w:val="0"/>
          </w:rPr>
          <w:t>sub-grouping only is marginal.</w:t>
        </w:r>
      </w:hyperlink>
    </w:p>
    <w:p w:rsidR="00807327" w:rsidRDefault="00673E0E">
      <w:pPr>
        <w:pStyle w:val="10"/>
        <w:tabs>
          <w:tab w:val="clear" w:pos="0"/>
          <w:tab w:val="right" w:leader="dot" w:pos="9660"/>
        </w:tabs>
        <w:spacing w:before="120" w:after="120"/>
        <w:jc w:val="both"/>
      </w:pPr>
      <w:hyperlink w:anchor="_Toc8984" w:history="1">
        <w:r w:rsidR="00AC0ED4">
          <w:rPr>
            <w:rFonts w:eastAsia="宋体"/>
            <w:i w:val="0"/>
            <w:iCs w:val="0"/>
            <w:szCs w:val="21"/>
          </w:rPr>
          <w:t xml:space="preserve">Observation 4: </w:t>
        </w:r>
        <w:r w:rsidR="00AC0ED4">
          <w:rPr>
            <w:i w:val="0"/>
            <w:iCs w:val="0"/>
            <w:szCs w:val="21"/>
          </w:rPr>
          <w:t xml:space="preserve">The power saving gain of </w:t>
        </w:r>
        <w:r w:rsidR="00AC0ED4">
          <w:rPr>
            <w:rFonts w:hint="eastAsia"/>
            <w:i w:val="0"/>
            <w:iCs w:val="0"/>
            <w:szCs w:val="21"/>
          </w:rPr>
          <w:t>PDCCH-based</w:t>
        </w:r>
        <w:r w:rsidR="00AC0ED4">
          <w:rPr>
            <w:i w:val="0"/>
            <w:iCs w:val="0"/>
            <w:szCs w:val="21"/>
          </w:rPr>
          <w:t xml:space="preserve"> PEI and </w:t>
        </w:r>
        <w:r w:rsidR="00AC0ED4">
          <w:rPr>
            <w:rFonts w:hint="eastAsia"/>
            <w:i w:val="0"/>
            <w:iCs w:val="0"/>
            <w:szCs w:val="21"/>
          </w:rPr>
          <w:t>SSS</w:t>
        </w:r>
        <w:r w:rsidR="00AC0ED4">
          <w:rPr>
            <w:i w:val="0"/>
            <w:iCs w:val="0"/>
            <w:szCs w:val="21"/>
          </w:rPr>
          <w:t xml:space="preserve">-based PEI is the </w:t>
        </w:r>
        <w:r w:rsidR="00AC0ED4">
          <w:rPr>
            <w:i w:val="0"/>
          </w:rPr>
          <w:t>comparable</w:t>
        </w:r>
        <w:r w:rsidR="00AC0ED4">
          <w:rPr>
            <w:i w:val="0"/>
            <w:iCs w:val="0"/>
            <w:szCs w:val="21"/>
          </w:rPr>
          <w:t>.</w:t>
        </w:r>
      </w:hyperlink>
    </w:p>
    <w:p w:rsidR="00807327" w:rsidRDefault="00673E0E">
      <w:pPr>
        <w:pStyle w:val="10"/>
        <w:tabs>
          <w:tab w:val="clear" w:pos="0"/>
          <w:tab w:val="right" w:leader="dot" w:pos="9660"/>
        </w:tabs>
        <w:spacing w:before="120" w:after="120"/>
        <w:jc w:val="both"/>
      </w:pPr>
      <w:hyperlink w:anchor="_Toc24494" w:history="1">
        <w:r w:rsidR="00AC0ED4">
          <w:rPr>
            <w:rFonts w:eastAsia="宋体"/>
            <w:i w:val="0"/>
            <w:iCs w:val="0"/>
            <w:szCs w:val="21"/>
          </w:rPr>
          <w:t xml:space="preserve">Observation 5: </w:t>
        </w:r>
        <w:r w:rsidR="00AC0ED4">
          <w:rPr>
            <w:rFonts w:hint="eastAsia"/>
            <w:i w:val="0"/>
            <w:iCs w:val="0"/>
            <w:szCs w:val="21"/>
          </w:rPr>
          <w:t xml:space="preserve">Both PDCCH-based PEI and SSS-based PEI </w:t>
        </w:r>
        <w:r w:rsidR="00AC0ED4">
          <w:rPr>
            <w:i w:val="0"/>
            <w:iCs w:val="0"/>
            <w:szCs w:val="21"/>
          </w:rPr>
          <w:t xml:space="preserve">are </w:t>
        </w:r>
        <w:r w:rsidR="00AC0ED4">
          <w:rPr>
            <w:rFonts w:hint="eastAsia"/>
            <w:i w:val="0"/>
            <w:iCs w:val="0"/>
            <w:szCs w:val="21"/>
          </w:rPr>
          <w:t xml:space="preserve">verified to satisfy the mandatory joint MDR performance criterion. </w:t>
        </w:r>
        <w:r w:rsidR="00AC0ED4">
          <w:rPr>
            <w:i w:val="0"/>
            <w:iCs w:val="0"/>
            <w:szCs w:val="21"/>
          </w:rPr>
          <w:t>W</w:t>
        </w:r>
        <w:r w:rsidR="00AC0ED4">
          <w:rPr>
            <w:rFonts w:hint="eastAsia"/>
            <w:i w:val="0"/>
            <w:iCs w:val="0"/>
            <w:szCs w:val="21"/>
          </w:rPr>
          <w:t xml:space="preserve">hen the information bits of the DCI based PEI are reduced, the </w:t>
        </w:r>
        <w:r w:rsidR="00AC0ED4">
          <w:rPr>
            <w:i w:val="0"/>
            <w:iCs w:val="0"/>
            <w:szCs w:val="21"/>
          </w:rPr>
          <w:t>MDR</w:t>
        </w:r>
        <w:r w:rsidR="00AC0ED4">
          <w:rPr>
            <w:rFonts w:hint="eastAsia"/>
            <w:i w:val="0"/>
            <w:iCs w:val="0"/>
            <w:szCs w:val="21"/>
          </w:rPr>
          <w:t xml:space="preserve"> performance</w:t>
        </w:r>
        <w:r w:rsidR="00AC0ED4">
          <w:rPr>
            <w:i w:val="0"/>
            <w:iCs w:val="0"/>
            <w:szCs w:val="21"/>
          </w:rPr>
          <w:t xml:space="preserve"> of DCI based PEI</w:t>
        </w:r>
        <w:r w:rsidR="00AC0ED4">
          <w:rPr>
            <w:rFonts w:hint="eastAsia"/>
            <w:i w:val="0"/>
            <w:iCs w:val="0"/>
            <w:szCs w:val="21"/>
          </w:rPr>
          <w:t xml:space="preserve"> is further improved</w:t>
        </w:r>
        <w:r w:rsidR="00AC0ED4">
          <w:rPr>
            <w:i w:val="0"/>
            <w:iCs w:val="0"/>
            <w:szCs w:val="21"/>
          </w:rPr>
          <w:t xml:space="preserve"> with ML decoding</w:t>
        </w:r>
        <w:r w:rsidR="00AC0ED4">
          <w:rPr>
            <w:rFonts w:hint="eastAsia"/>
            <w:i w:val="0"/>
            <w:iCs w:val="0"/>
            <w:szCs w:val="21"/>
          </w:rPr>
          <w:t>.</w:t>
        </w:r>
      </w:hyperlink>
    </w:p>
    <w:p w:rsidR="00807327" w:rsidRDefault="00673E0E">
      <w:pPr>
        <w:pStyle w:val="10"/>
        <w:tabs>
          <w:tab w:val="clear" w:pos="0"/>
          <w:tab w:val="right" w:leader="dot" w:pos="9660"/>
        </w:tabs>
        <w:spacing w:before="120" w:after="120"/>
        <w:jc w:val="both"/>
      </w:pPr>
      <w:hyperlink w:anchor="_Toc26572" w:history="1">
        <w:r w:rsidR="00AC0ED4">
          <w:rPr>
            <w:rFonts w:eastAsia="宋体"/>
            <w:i w:val="0"/>
            <w:iCs w:val="0"/>
            <w:szCs w:val="21"/>
          </w:rPr>
          <w:t xml:space="preserve">Observation 6: </w:t>
        </w:r>
        <w:r w:rsidR="00AC0ED4">
          <w:rPr>
            <w:rFonts w:hint="eastAsia"/>
            <w:i w:val="0"/>
            <w:iCs w:val="0"/>
          </w:rPr>
          <w:t xml:space="preserve">PDCCH-based PEI has </w:t>
        </w:r>
        <w:r w:rsidR="00AC0ED4">
          <w:rPr>
            <w:i w:val="0"/>
            <w:iCs w:val="0"/>
          </w:rPr>
          <w:t>better</w:t>
        </w:r>
        <w:r w:rsidR="00AC0ED4">
          <w:rPr>
            <w:rFonts w:hint="eastAsia"/>
            <w:i w:val="0"/>
            <w:iCs w:val="0"/>
          </w:rPr>
          <w:t xml:space="preserve"> link adaption </w:t>
        </w:r>
        <w:r w:rsidR="00AC0ED4">
          <w:rPr>
            <w:i w:val="0"/>
            <w:iCs w:val="0"/>
          </w:rPr>
          <w:t>compared</w:t>
        </w:r>
        <w:r w:rsidR="00AC0ED4">
          <w:rPr>
            <w:rFonts w:hint="eastAsia"/>
            <w:i w:val="0"/>
            <w:iCs w:val="0"/>
          </w:rPr>
          <w:t xml:space="preserve"> with SSS-based PEI.</w:t>
        </w:r>
      </w:hyperlink>
    </w:p>
    <w:p w:rsidR="00807327" w:rsidRDefault="00673E0E">
      <w:pPr>
        <w:pStyle w:val="10"/>
        <w:tabs>
          <w:tab w:val="clear" w:pos="0"/>
          <w:tab w:val="right" w:leader="dot" w:pos="9660"/>
        </w:tabs>
        <w:spacing w:before="120" w:after="120"/>
        <w:jc w:val="both"/>
      </w:pPr>
      <w:hyperlink w:anchor="_Toc13631" w:history="1">
        <w:r w:rsidR="00AC0ED4">
          <w:rPr>
            <w:rFonts w:eastAsia="宋体"/>
            <w:i w:val="0"/>
            <w:iCs w:val="0"/>
            <w:szCs w:val="21"/>
          </w:rPr>
          <w:t xml:space="preserve">Observation 7: </w:t>
        </w:r>
        <w:r w:rsidR="00AC0ED4">
          <w:rPr>
            <w:rFonts w:hint="eastAsia"/>
            <w:i w:val="0"/>
            <w:iCs w:val="0"/>
            <w:szCs w:val="21"/>
          </w:rPr>
          <w:t xml:space="preserve">PDCCH-based PEI </w:t>
        </w:r>
        <w:r w:rsidR="00AC0ED4">
          <w:rPr>
            <w:i w:val="0"/>
            <w:iCs w:val="0"/>
            <w:szCs w:val="21"/>
          </w:rPr>
          <w:t>has better</w:t>
        </w:r>
        <w:r w:rsidR="00AC0ED4">
          <w:rPr>
            <w:rFonts w:hint="eastAsia"/>
            <w:i w:val="0"/>
            <w:iCs w:val="0"/>
            <w:szCs w:val="21"/>
          </w:rPr>
          <w:t xml:space="preserve"> coexist</w:t>
        </w:r>
        <w:r w:rsidR="00AC0ED4">
          <w:rPr>
            <w:i w:val="0"/>
            <w:iCs w:val="0"/>
            <w:szCs w:val="21"/>
          </w:rPr>
          <w:t>ence performance</w:t>
        </w:r>
        <w:r w:rsidR="00AC0ED4">
          <w:rPr>
            <w:rFonts w:hint="eastAsia"/>
            <w:i w:val="0"/>
            <w:iCs w:val="0"/>
            <w:szCs w:val="21"/>
          </w:rPr>
          <w:t xml:space="preserve"> with legacy PDSCH</w:t>
        </w:r>
        <w:r w:rsidR="00AC0ED4">
          <w:rPr>
            <w:i w:val="0"/>
            <w:iCs w:val="0"/>
            <w:szCs w:val="21"/>
          </w:rPr>
          <w:t>,</w:t>
        </w:r>
        <w:r w:rsidR="00AC0ED4">
          <w:rPr>
            <w:rFonts w:hint="eastAsia"/>
            <w:i w:val="0"/>
            <w:iCs w:val="0"/>
            <w:szCs w:val="21"/>
          </w:rPr>
          <w:t xml:space="preserve"> PDCCH</w:t>
        </w:r>
        <w:r w:rsidR="00AC0ED4">
          <w:rPr>
            <w:i w:val="0"/>
            <w:iCs w:val="0"/>
            <w:szCs w:val="21"/>
          </w:rPr>
          <w:t>, and other reference signals</w:t>
        </w:r>
        <w:r w:rsidR="00AC0ED4">
          <w:rPr>
            <w:rFonts w:hint="eastAsia"/>
            <w:i w:val="0"/>
            <w:iCs w:val="0"/>
            <w:szCs w:val="21"/>
          </w:rPr>
          <w:t>.</w:t>
        </w:r>
      </w:hyperlink>
    </w:p>
    <w:p w:rsidR="00807327" w:rsidRDefault="00673E0E">
      <w:pPr>
        <w:pStyle w:val="10"/>
        <w:tabs>
          <w:tab w:val="clear" w:pos="0"/>
          <w:tab w:val="right" w:leader="dot" w:pos="9660"/>
        </w:tabs>
        <w:spacing w:before="120" w:after="120"/>
        <w:jc w:val="both"/>
      </w:pPr>
      <w:hyperlink w:anchor="_Toc32048" w:history="1">
        <w:r w:rsidR="00AC0ED4">
          <w:rPr>
            <w:rFonts w:eastAsia="宋体"/>
            <w:i w:val="0"/>
            <w:iCs w:val="0"/>
            <w:szCs w:val="21"/>
          </w:rPr>
          <w:t xml:space="preserve">Observation 8: </w:t>
        </w:r>
        <w:r w:rsidR="00AC0ED4">
          <w:rPr>
            <w:rFonts w:hint="eastAsia"/>
            <w:i w:val="0"/>
            <w:iCs w:val="0"/>
            <w:szCs w:val="21"/>
          </w:rPr>
          <w:t xml:space="preserve">SSS-based PEI may impact the initial access procedure </w:t>
        </w:r>
        <w:r w:rsidR="00AC0ED4">
          <w:rPr>
            <w:i w:val="0"/>
            <w:iCs w:val="0"/>
            <w:szCs w:val="21"/>
          </w:rPr>
          <w:t>and</w:t>
        </w:r>
        <w:r w:rsidR="00AC0ED4">
          <w:rPr>
            <w:rFonts w:hint="eastAsia"/>
            <w:i w:val="0"/>
            <w:iCs w:val="0"/>
            <w:szCs w:val="21"/>
          </w:rPr>
          <w:t xml:space="preserve"> </w:t>
        </w:r>
        <w:r w:rsidR="00AC0ED4">
          <w:rPr>
            <w:i w:val="0"/>
            <w:iCs w:val="0"/>
            <w:szCs w:val="21"/>
          </w:rPr>
          <w:t>neighbour</w:t>
        </w:r>
        <w:r w:rsidR="00AC0ED4">
          <w:rPr>
            <w:rFonts w:hint="eastAsia"/>
            <w:i w:val="0"/>
            <w:iCs w:val="0"/>
            <w:szCs w:val="21"/>
          </w:rPr>
          <w:t xml:space="preserve"> cell measurement of legacy UE</w:t>
        </w:r>
        <w:r w:rsidR="00AC0ED4">
          <w:rPr>
            <w:i w:val="0"/>
            <w:iCs w:val="0"/>
            <w:szCs w:val="21"/>
          </w:rPr>
          <w:t>s</w:t>
        </w:r>
        <w:r w:rsidR="00AC0ED4">
          <w:rPr>
            <w:rFonts w:hint="eastAsia"/>
            <w:i w:val="0"/>
            <w:iCs w:val="0"/>
            <w:szCs w:val="21"/>
          </w:rPr>
          <w:t>.</w:t>
        </w:r>
      </w:hyperlink>
    </w:p>
    <w:p w:rsidR="00807327" w:rsidRDefault="00673E0E">
      <w:pPr>
        <w:pStyle w:val="10"/>
        <w:tabs>
          <w:tab w:val="clear" w:pos="0"/>
          <w:tab w:val="right" w:leader="dot" w:pos="9660"/>
        </w:tabs>
        <w:spacing w:before="120" w:after="120"/>
        <w:jc w:val="both"/>
      </w:pPr>
      <w:hyperlink w:anchor="_Toc12144" w:history="1">
        <w:r w:rsidR="00AC0ED4">
          <w:rPr>
            <w:rFonts w:eastAsia="宋体"/>
            <w:i w:val="0"/>
            <w:iCs w:val="0"/>
            <w:szCs w:val="21"/>
          </w:rPr>
          <w:t xml:space="preserve">Observation 9: </w:t>
        </w:r>
        <w:r w:rsidR="00AC0ED4">
          <w:rPr>
            <w:rFonts w:hint="eastAsia"/>
            <w:i w:val="0"/>
            <w:iCs w:val="0"/>
          </w:rPr>
          <w:t>PDCCH-based PEI has less resource overhead.</w:t>
        </w:r>
      </w:hyperlink>
    </w:p>
    <w:p w:rsidR="00807327" w:rsidRDefault="00673E0E">
      <w:pPr>
        <w:pStyle w:val="10"/>
        <w:tabs>
          <w:tab w:val="clear" w:pos="0"/>
          <w:tab w:val="right" w:leader="dot" w:pos="9660"/>
        </w:tabs>
        <w:spacing w:before="120" w:after="120"/>
        <w:jc w:val="both"/>
      </w:pPr>
      <w:hyperlink w:anchor="_Toc27048" w:history="1">
        <w:r w:rsidR="00AC0ED4">
          <w:rPr>
            <w:rFonts w:eastAsia="宋体"/>
            <w:i w:val="0"/>
            <w:iCs w:val="0"/>
            <w:szCs w:val="21"/>
          </w:rPr>
          <w:t xml:space="preserve">Observation 10: </w:t>
        </w:r>
        <w:r w:rsidR="00AC0ED4">
          <w:rPr>
            <w:rFonts w:hint="eastAsia"/>
            <w:i w:val="0"/>
            <w:iCs w:val="0"/>
            <w:szCs w:val="21"/>
          </w:rPr>
          <w:t xml:space="preserve">PDCCH-based PEI </w:t>
        </w:r>
        <w:r w:rsidR="00AC0ED4">
          <w:rPr>
            <w:i w:val="0"/>
            <w:szCs w:val="21"/>
          </w:rPr>
          <w:t xml:space="preserve">requires </w:t>
        </w:r>
        <w:r w:rsidR="00AC0ED4">
          <w:rPr>
            <w:rFonts w:hint="eastAsia"/>
            <w:i w:val="0"/>
            <w:iCs w:val="0"/>
            <w:szCs w:val="21"/>
          </w:rPr>
          <w:t xml:space="preserve">less </w:t>
        </w:r>
        <w:r w:rsidR="00AC0ED4">
          <w:rPr>
            <w:i w:val="0"/>
            <w:szCs w:val="21"/>
          </w:rPr>
          <w:t>standardization</w:t>
        </w:r>
        <w:r w:rsidR="00AC0ED4">
          <w:rPr>
            <w:rFonts w:hint="eastAsia"/>
            <w:i w:val="0"/>
            <w:iCs w:val="0"/>
            <w:szCs w:val="21"/>
          </w:rPr>
          <w:t xml:space="preserve"> workload.</w:t>
        </w:r>
      </w:hyperlink>
    </w:p>
    <w:p w:rsidR="00807327" w:rsidRDefault="00AC0ED4">
      <w:pPr>
        <w:spacing w:before="120" w:after="120"/>
      </w:pPr>
      <w:r>
        <w:rPr>
          <w:szCs w:val="22"/>
        </w:rPr>
        <w:fldChar w:fldCharType="end"/>
      </w:r>
    </w:p>
    <w:p w:rsidR="00807327" w:rsidRDefault="00AC0ED4">
      <w:pPr>
        <w:pStyle w:val="10"/>
        <w:tabs>
          <w:tab w:val="clear" w:pos="0"/>
          <w:tab w:val="right" w:leader="dot" w:pos="9660"/>
        </w:tabs>
        <w:spacing w:before="120" w:after="120"/>
        <w:jc w:val="both"/>
      </w:pPr>
      <w:r>
        <w:rPr>
          <w:i w:val="0"/>
          <w:iCs w:val="0"/>
        </w:rPr>
        <w:fldChar w:fldCharType="begin"/>
      </w:r>
      <w:r>
        <w:rPr>
          <w:i w:val="0"/>
          <w:iCs w:val="0"/>
        </w:rPr>
        <w:instrText>TOC \n  \t "YJ-Proposal,1,sub-proposal,2,3rd level proposal,3" \h</w:instrText>
      </w:r>
      <w:r>
        <w:rPr>
          <w:i w:val="0"/>
          <w:iCs w:val="0"/>
        </w:rPr>
        <w:fldChar w:fldCharType="separate"/>
      </w:r>
      <w:hyperlink w:anchor="_Toc16566" w:history="1">
        <w:r>
          <w:rPr>
            <w:rFonts w:eastAsia="宋体"/>
            <w:i w:val="0"/>
            <w:iCs w:val="0"/>
          </w:rPr>
          <w:t xml:space="preserve">Proposal 1: </w:t>
        </w:r>
        <w:r>
          <w:rPr>
            <w:i w:val="0"/>
          </w:rPr>
          <w:t>Based on</w:t>
        </w:r>
        <w:r>
          <w:rPr>
            <w:rFonts w:hint="eastAsia"/>
            <w:i w:val="0"/>
          </w:rPr>
          <w:t xml:space="preserve"> power saving gain and </w:t>
        </w:r>
        <w:r>
          <w:rPr>
            <w:i w:val="0"/>
          </w:rPr>
          <w:t>RAN1</w:t>
        </w:r>
        <w:r>
          <w:rPr>
            <w:rFonts w:hint="eastAsia"/>
            <w:i w:val="0"/>
          </w:rPr>
          <w:t xml:space="preserve"> agreements, the introduction of PEI is </w:t>
        </w:r>
        <w:r>
          <w:rPr>
            <w:i w:val="0"/>
            <w:iCs w:val="0"/>
          </w:rPr>
          <w:t>necessary</w:t>
        </w:r>
        <w:r>
          <w:rPr>
            <w:rFonts w:hint="eastAsia"/>
            <w:i w:val="0"/>
          </w:rPr>
          <w:t>.</w:t>
        </w:r>
      </w:hyperlink>
    </w:p>
    <w:p w:rsidR="00807327" w:rsidRDefault="00673E0E">
      <w:pPr>
        <w:pStyle w:val="10"/>
        <w:tabs>
          <w:tab w:val="clear" w:pos="0"/>
          <w:tab w:val="right" w:leader="dot" w:pos="9660"/>
        </w:tabs>
        <w:spacing w:before="120" w:after="120"/>
        <w:jc w:val="both"/>
      </w:pPr>
      <w:hyperlink w:anchor="_Toc17153" w:history="1">
        <w:r w:rsidR="00AC0ED4">
          <w:rPr>
            <w:rFonts w:eastAsia="宋体"/>
            <w:i w:val="0"/>
            <w:iCs w:val="0"/>
          </w:rPr>
          <w:t xml:space="preserve">Proposal 2: </w:t>
        </w:r>
        <w:r w:rsidR="00AC0ED4">
          <w:rPr>
            <w:i w:val="0"/>
            <w:iCs w:val="0"/>
          </w:rPr>
          <w:t>A</w:t>
        </w:r>
        <w:r w:rsidR="00A10855">
          <w:rPr>
            <w:rFonts w:hint="eastAsia"/>
            <w:i w:val="0"/>
            <w:iCs w:val="0"/>
          </w:rPr>
          <w:t>dopt</w:t>
        </w:r>
        <w:r w:rsidR="00AC0ED4">
          <w:rPr>
            <w:rFonts w:hint="eastAsia"/>
            <w:i w:val="0"/>
            <w:iCs w:val="0"/>
          </w:rPr>
          <w:t xml:space="preserve"> PDCCH-based PEI </w:t>
        </w:r>
        <w:r w:rsidR="00AC0ED4">
          <w:rPr>
            <w:i w:val="0"/>
            <w:iCs w:val="0"/>
          </w:rPr>
          <w:t>in Rel-17 UE power saving enhancement</w:t>
        </w:r>
        <w:r w:rsidR="00AC0ED4">
          <w:rPr>
            <w:rFonts w:hint="eastAsia"/>
            <w:i w:val="0"/>
            <w:iCs w:val="0"/>
          </w:rPr>
          <w:t>.</w:t>
        </w:r>
      </w:hyperlink>
    </w:p>
    <w:p w:rsidR="00807327" w:rsidRDefault="00673E0E">
      <w:pPr>
        <w:pStyle w:val="10"/>
        <w:tabs>
          <w:tab w:val="clear" w:pos="0"/>
          <w:tab w:val="right" w:leader="dot" w:pos="9660"/>
        </w:tabs>
        <w:spacing w:before="120" w:after="120"/>
        <w:jc w:val="both"/>
      </w:pPr>
      <w:hyperlink w:anchor="_Toc28720" w:history="1">
        <w:r w:rsidR="00AC0ED4">
          <w:rPr>
            <w:rFonts w:eastAsia="宋体"/>
            <w:i w:val="0"/>
            <w:iCs w:val="0"/>
          </w:rPr>
          <w:t xml:space="preserve">Proposal 3: </w:t>
        </w:r>
        <w:r w:rsidR="00AC0ED4">
          <w:rPr>
            <w:i w:val="0"/>
            <w:iCs w:val="0"/>
          </w:rPr>
          <w:t>Update the WID to allocate proper TU(s) to RAN3 for paging sub</w:t>
        </w:r>
        <w:r w:rsidR="00AC0ED4">
          <w:rPr>
            <w:rFonts w:hint="eastAsia"/>
            <w:i w:val="0"/>
            <w:iCs w:val="0"/>
          </w:rPr>
          <w:t>-</w:t>
        </w:r>
        <w:r w:rsidR="00AC0ED4">
          <w:rPr>
            <w:i w:val="0"/>
            <w:iCs w:val="0"/>
          </w:rPr>
          <w:t>grouping conveyed by PDCCH based PEI</w:t>
        </w:r>
      </w:hyperlink>
    </w:p>
    <w:p w:rsidR="00807327" w:rsidRDefault="00AC0ED4">
      <w:pPr>
        <w:spacing w:before="120" w:after="120"/>
      </w:pPr>
      <w:r>
        <w:fldChar w:fldCharType="end"/>
      </w:r>
      <w:bookmarkStart w:id="38" w:name="_GoBack"/>
      <w:bookmarkEnd w:id="38"/>
    </w:p>
    <w:p w:rsidR="00807327" w:rsidRDefault="00AC0ED4">
      <w:pPr>
        <w:pStyle w:val="1"/>
        <w:spacing w:before="120" w:after="120"/>
        <w:ind w:left="0"/>
        <w:rPr>
          <w:rFonts w:ascii="Times New Roman" w:eastAsia="宋体" w:hAnsi="Times New Roman"/>
          <w:b/>
          <w:bCs/>
          <w:sz w:val="24"/>
          <w:szCs w:val="24"/>
        </w:rPr>
      </w:pPr>
      <w:r>
        <w:rPr>
          <w:rFonts w:ascii="Times New Roman" w:eastAsia="宋体" w:hAnsi="Times New Roman"/>
          <w:b/>
          <w:bCs/>
          <w:sz w:val="24"/>
          <w:szCs w:val="24"/>
        </w:rPr>
        <w:t>References</w:t>
      </w:r>
    </w:p>
    <w:p w:rsidR="00807327" w:rsidRDefault="00AC0ED4">
      <w:pPr>
        <w:pStyle w:val="References"/>
        <w:spacing w:before="120" w:after="120"/>
        <w:ind w:left="363" w:hanging="363"/>
        <w:rPr>
          <w:szCs w:val="20"/>
        </w:rPr>
      </w:pPr>
      <w:bookmarkStart w:id="39" w:name="_Ref17466"/>
      <w:r>
        <w:rPr>
          <w:rFonts w:hint="eastAsia"/>
          <w:szCs w:val="20"/>
        </w:rPr>
        <w:t>RP-200938, Revised WID: UE Power Saving Enhancements for NR, MediaTek Inc., RAN#88-e.</w:t>
      </w:r>
    </w:p>
    <w:p w:rsidR="00807327" w:rsidRDefault="00AC0ED4">
      <w:pPr>
        <w:pStyle w:val="References"/>
        <w:spacing w:before="120" w:after="120"/>
        <w:ind w:left="363" w:hanging="363"/>
        <w:rPr>
          <w:szCs w:val="20"/>
        </w:rPr>
      </w:pPr>
      <w:r>
        <w:rPr>
          <w:szCs w:val="20"/>
        </w:rPr>
        <w:lastRenderedPageBreak/>
        <w:t>Chair's Notes RAN1#106-e</w:t>
      </w:r>
      <w:r>
        <w:rPr>
          <w:rFonts w:hint="eastAsia"/>
          <w:szCs w:val="20"/>
        </w:rPr>
        <w:t>, RAN 1#106-e.</w:t>
      </w:r>
    </w:p>
    <w:p w:rsidR="00807327" w:rsidRDefault="00AC0ED4">
      <w:pPr>
        <w:pStyle w:val="References"/>
        <w:spacing w:before="120" w:after="120"/>
        <w:ind w:left="363" w:hanging="363"/>
        <w:rPr>
          <w:szCs w:val="20"/>
        </w:rPr>
      </w:pPr>
      <w:r>
        <w:rPr>
          <w:rFonts w:hint="eastAsia"/>
          <w:szCs w:val="20"/>
        </w:rPr>
        <w:t xml:space="preserve">R1-2105615, </w:t>
      </w:r>
      <w:r>
        <w:rPr>
          <w:szCs w:val="20"/>
        </w:rPr>
        <w:t>Evaluation methodology and paging enhancements for idle/inactive mode UE power saving</w:t>
      </w:r>
      <w:r>
        <w:rPr>
          <w:rFonts w:hint="eastAsia"/>
          <w:szCs w:val="20"/>
        </w:rPr>
        <w:t>, MediaTek Inc., RAN 1#102-e.</w:t>
      </w:r>
    </w:p>
    <w:p w:rsidR="00807327" w:rsidRDefault="00AC0ED4">
      <w:pPr>
        <w:pStyle w:val="References"/>
        <w:spacing w:before="120" w:after="120"/>
        <w:ind w:left="363" w:hanging="363"/>
        <w:rPr>
          <w:szCs w:val="20"/>
        </w:rPr>
      </w:pPr>
      <w:r>
        <w:rPr>
          <w:rFonts w:hint="eastAsia"/>
          <w:szCs w:val="20"/>
        </w:rPr>
        <w:t>Chairman's Notes RAN1#103-e, RAN 1#103-e.</w:t>
      </w:r>
    </w:p>
    <w:p w:rsidR="00807327" w:rsidRDefault="00AC0ED4">
      <w:pPr>
        <w:pStyle w:val="References"/>
        <w:spacing w:before="120" w:after="120"/>
        <w:ind w:left="363" w:hanging="363"/>
        <w:rPr>
          <w:szCs w:val="20"/>
        </w:rPr>
      </w:pPr>
      <w:r>
        <w:rPr>
          <w:rFonts w:hint="eastAsia"/>
          <w:szCs w:val="20"/>
        </w:rPr>
        <w:t>Chairman's Notes RAN1#105-e, RAN 1#105-e.</w:t>
      </w:r>
    </w:p>
    <w:p w:rsidR="00807327" w:rsidRDefault="00AC0ED4">
      <w:pPr>
        <w:pStyle w:val="References"/>
        <w:spacing w:before="120" w:after="120"/>
        <w:ind w:left="363" w:hanging="363"/>
        <w:rPr>
          <w:szCs w:val="20"/>
        </w:rPr>
      </w:pPr>
      <w:r>
        <w:rPr>
          <w:rFonts w:hint="eastAsia"/>
          <w:szCs w:val="20"/>
        </w:rPr>
        <w:t xml:space="preserve">R1-2106521, </w:t>
      </w:r>
      <w:r>
        <w:rPr>
          <w:szCs w:val="20"/>
        </w:rPr>
        <w:t>Discussion on power saving enhancements for paging</w:t>
      </w:r>
      <w:r>
        <w:rPr>
          <w:rFonts w:hint="eastAsia"/>
          <w:szCs w:val="20"/>
        </w:rPr>
        <w:t>, ZTE, Sanechips, RAN 1#106-e.</w:t>
      </w:r>
    </w:p>
    <w:p w:rsidR="00807327" w:rsidRDefault="00AC0ED4">
      <w:pPr>
        <w:pStyle w:val="References"/>
        <w:spacing w:before="120" w:after="120"/>
        <w:ind w:left="363" w:hanging="363"/>
        <w:rPr>
          <w:szCs w:val="20"/>
        </w:rPr>
      </w:pPr>
      <w:r>
        <w:rPr>
          <w:rFonts w:hint="eastAsia"/>
          <w:szCs w:val="20"/>
        </w:rPr>
        <w:t>R3-214281, LS on RAN3 work associated with UE Power Saving</w:t>
      </w:r>
    </w:p>
    <w:bookmarkEnd w:id="39"/>
    <w:p w:rsidR="00807327" w:rsidRDefault="00807327">
      <w:pPr>
        <w:spacing w:beforeLines="0" w:afterLines="0"/>
        <w:jc w:val="left"/>
      </w:pPr>
    </w:p>
    <w:p w:rsidR="00807327" w:rsidRDefault="00807327">
      <w:pPr>
        <w:spacing w:beforeLines="0" w:afterLines="0"/>
        <w:jc w:val="left"/>
      </w:pPr>
    </w:p>
    <w:p w:rsidR="00807327" w:rsidRDefault="00807327">
      <w:pPr>
        <w:spacing w:beforeLines="0" w:afterLines="0"/>
        <w:jc w:val="left"/>
      </w:pPr>
    </w:p>
    <w:sectPr w:rsidR="00807327">
      <w:headerReference w:type="even" r:id="rId10"/>
      <w:headerReference w:type="default" r:id="rId11"/>
      <w:footerReference w:type="even" r:id="rId12"/>
      <w:footerReference w:type="default" r:id="rId13"/>
      <w:headerReference w:type="first" r:id="rId14"/>
      <w:footerReference w:type="first" r:id="rId15"/>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3E0E" w:rsidRDefault="00673E0E">
      <w:pPr>
        <w:spacing w:before="120" w:after="120" w:line="240" w:lineRule="auto"/>
      </w:pPr>
      <w:r>
        <w:separator/>
      </w:r>
    </w:p>
  </w:endnote>
  <w:endnote w:type="continuationSeparator" w:id="0">
    <w:p w:rsidR="00673E0E" w:rsidRDefault="00673E0E">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Microsoft YaHei U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新細明體"/>
    <w:panose1 w:val="02020500000000000000"/>
    <w:charset w:val="88"/>
    <w:family w:val="roman"/>
    <w:pitch w:val="variable"/>
    <w:sig w:usb0="A00002FF" w:usb1="28CFFCFA" w:usb2="00000016" w:usb3="00000000" w:csb0="00100001"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7327" w:rsidRDefault="00807327">
    <w:pPr>
      <w:pStyle w:val="a6"/>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7327" w:rsidRDefault="00AC0ED4">
    <w:pPr>
      <w:pStyle w:val="a6"/>
      <w:spacing w:before="120" w:after="120"/>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807327" w:rsidRDefault="00AC0ED4">
                          <w:pPr>
                            <w:pStyle w:val="a6"/>
                            <w:spacing w:before="120" w:after="120"/>
                          </w:pPr>
                          <w:r>
                            <w:rPr>
                              <w:rFonts w:hint="eastAsia"/>
                            </w:rPr>
                            <w:fldChar w:fldCharType="begin"/>
                          </w:r>
                          <w:r>
                            <w:rPr>
                              <w:rFonts w:hint="eastAsia"/>
                            </w:rPr>
                            <w:instrText xml:space="preserve"> PAGE  \* MERGEFORMAT </w:instrText>
                          </w:r>
                          <w:r>
                            <w:rPr>
                              <w:rFonts w:hint="eastAsia"/>
                            </w:rPr>
                            <w:fldChar w:fldCharType="separate"/>
                          </w:r>
                          <w:r w:rsidR="00A10855">
                            <w:rPr>
                              <w:noProof/>
                            </w:rPr>
                            <w:t>6</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807327" w:rsidRDefault="00AC0ED4">
                    <w:pPr>
                      <w:pStyle w:val="a6"/>
                      <w:spacing w:before="120" w:after="120"/>
                    </w:pPr>
                    <w:r>
                      <w:rPr>
                        <w:rFonts w:hint="eastAsia"/>
                      </w:rPr>
                      <w:fldChar w:fldCharType="begin"/>
                    </w:r>
                    <w:r>
                      <w:rPr>
                        <w:rFonts w:hint="eastAsia"/>
                      </w:rPr>
                      <w:instrText xml:space="preserve"> PAGE  \* MERGEFORMAT </w:instrText>
                    </w:r>
                    <w:r>
                      <w:rPr>
                        <w:rFonts w:hint="eastAsia"/>
                      </w:rPr>
                      <w:fldChar w:fldCharType="separate"/>
                    </w:r>
                    <w:r w:rsidR="00A10855">
                      <w:rPr>
                        <w:noProof/>
                      </w:rPr>
                      <w:t>6</w:t>
                    </w:r>
                    <w:r>
                      <w:rPr>
                        <w:rFonts w:hint="eastAsia"/>
                      </w:rPr>
                      <w:fldChar w:fldCharType="end"/>
                    </w:r>
                  </w:p>
                </w:txbxContent>
              </v:textbox>
              <w10:wrap anchorx="margin"/>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7327" w:rsidRDefault="00807327">
    <w:pPr>
      <w:pStyle w:val="a6"/>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3E0E" w:rsidRDefault="00673E0E">
      <w:pPr>
        <w:spacing w:before="120" w:after="120" w:line="240" w:lineRule="auto"/>
      </w:pPr>
      <w:r>
        <w:separator/>
      </w:r>
    </w:p>
  </w:footnote>
  <w:footnote w:type="continuationSeparator" w:id="0">
    <w:p w:rsidR="00673E0E" w:rsidRDefault="00673E0E">
      <w:pPr>
        <w:spacing w:before="120" w:after="12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7327" w:rsidRDefault="00807327">
    <w:pPr>
      <w:pStyle w:val="a7"/>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7327" w:rsidRDefault="00807327">
    <w:pPr>
      <w:pStyle w:val="a7"/>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7327" w:rsidRDefault="00807327">
    <w:pPr>
      <w:pStyle w:val="a7"/>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val="0"/>
        <w:iCs w:val="0"/>
        <w:sz w:val="21"/>
        <w:szCs w:val="21"/>
      </w:rPr>
    </w:lvl>
  </w:abstractNum>
  <w:abstractNum w:abstractNumId="1">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2">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nsid w:val="03394446"/>
    <w:multiLevelType w:val="multilevel"/>
    <w:tmpl w:val="033944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73403D1"/>
    <w:multiLevelType w:val="multilevel"/>
    <w:tmpl w:val="073403D1"/>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5">
    <w:nsid w:val="0BDD5F2B"/>
    <w:multiLevelType w:val="multilevel"/>
    <w:tmpl w:val="0BDD5F2B"/>
    <w:lvl w:ilvl="0">
      <w:start w:val="1"/>
      <w:numFmt w:val="decimal"/>
      <w:pStyle w:val="1"/>
      <w:suff w:val="nothing"/>
      <w:lvlText w:val="%1  "/>
      <w:lvlJc w:val="left"/>
      <w:pPr>
        <w:ind w:left="4962" w:firstLine="0"/>
      </w:pPr>
      <w:rPr>
        <w:rFonts w:ascii="Times New Roman" w:eastAsia="黑体" w:hAnsi="Times New Roman" w:cs="Times New Roman" w:hint="default"/>
        <w:b/>
        <w:bCs/>
        <w:i w:val="0"/>
        <w:sz w:val="24"/>
        <w:szCs w:val="24"/>
        <w:lang w:val="en-US"/>
      </w:rPr>
    </w:lvl>
    <w:lvl w:ilvl="1">
      <w:start w:val="1"/>
      <w:numFmt w:val="decimal"/>
      <w:pStyle w:val="2"/>
      <w:suff w:val="nothing"/>
      <w:lvlText w:val="%1.%2  "/>
      <w:lvlJc w:val="left"/>
      <w:pPr>
        <w:ind w:left="993" w:firstLine="0"/>
      </w:pPr>
      <w:rPr>
        <w:rFonts w:ascii="Times New Roman" w:hAnsi="Times New Roman" w:cs="Times New Roman" w:hint="default"/>
        <w:b/>
        <w:bCs/>
        <w:i w:val="0"/>
        <w:iCs w:val="0"/>
        <w:caps w:val="0"/>
        <w:smallCaps w:val="0"/>
        <w:strike w:val="0"/>
        <w:dstrike w:val="0"/>
        <w:vanish w:val="0"/>
        <w:color w:val="000000"/>
        <w:spacing w:val="0"/>
        <w:kern w:val="0"/>
        <w:position w:val="0"/>
        <w:sz w:val="22"/>
        <w:szCs w:val="22"/>
        <w:u w:val="none"/>
        <w:vertAlign w:val="baseline"/>
      </w:rPr>
    </w:lvl>
    <w:lvl w:ilvl="2">
      <w:start w:val="1"/>
      <w:numFmt w:val="decimal"/>
      <w:pStyle w:val="3"/>
      <w:suff w:val="nothing"/>
      <w:lvlText w:val="%1.%2.%3  "/>
      <w:lvlJc w:val="left"/>
      <w:pPr>
        <w:ind w:left="426" w:firstLine="0"/>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 w:val="22"/>
        <w:szCs w:val="22"/>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6">
    <w:nsid w:val="190D4E6F"/>
    <w:multiLevelType w:val="multilevel"/>
    <w:tmpl w:val="190D4E6F"/>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9">
    <w:nsid w:val="50A50669"/>
    <w:multiLevelType w:val="multilevel"/>
    <w:tmpl w:val="50A50669"/>
    <w:lvl w:ilvl="0">
      <w:start w:val="4"/>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0">
    <w:nsid w:val="59A856F9"/>
    <w:multiLevelType w:val="multilevel"/>
    <w:tmpl w:val="59A856F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nsid w:val="5A84FFEB"/>
    <w:multiLevelType w:val="singleLevel"/>
    <w:tmpl w:val="5A84FFEB"/>
    <w:lvl w:ilvl="0">
      <w:start w:val="1"/>
      <w:numFmt w:val="bullet"/>
      <w:lvlText w:val=""/>
      <w:lvlJc w:val="left"/>
      <w:pPr>
        <w:ind w:left="420" w:hanging="420"/>
      </w:pPr>
      <w:rPr>
        <w:rFonts w:ascii="Wingdings" w:hAnsi="Wingdings" w:hint="default"/>
      </w:rPr>
    </w:lvl>
  </w:abstractNum>
  <w:abstractNum w:abstractNumId="12">
    <w:nsid w:val="78C326B4"/>
    <w:multiLevelType w:val="multilevel"/>
    <w:tmpl w:val="78C326B4"/>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3">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5"/>
  </w:num>
  <w:num w:numId="2">
    <w:abstractNumId w:val="0"/>
  </w:num>
  <w:num w:numId="3">
    <w:abstractNumId w:val="2"/>
  </w:num>
  <w:num w:numId="4">
    <w:abstractNumId w:val="13"/>
  </w:num>
  <w:num w:numId="5">
    <w:abstractNumId w:val="1"/>
  </w:num>
  <w:num w:numId="6">
    <w:abstractNumId w:val="8"/>
  </w:num>
  <w:num w:numId="7">
    <w:abstractNumId w:val="7"/>
  </w:num>
  <w:num w:numId="8">
    <w:abstractNumId w:val="6"/>
  </w:num>
  <w:num w:numId="9">
    <w:abstractNumId w:val="9"/>
  </w:num>
  <w:num w:numId="10">
    <w:abstractNumId w:val="3"/>
  </w:num>
  <w:num w:numId="11">
    <w:abstractNumId w:val="10"/>
  </w:num>
  <w:num w:numId="12">
    <w:abstractNumId w:val="4"/>
  </w:num>
  <w:num w:numId="13">
    <w:abstractNumId w:val="11"/>
  </w:num>
  <w:num w:numId="14">
    <w:abstractNumId w:val="1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2E89"/>
    <w:rsid w:val="00013735"/>
    <w:rsid w:val="00015154"/>
    <w:rsid w:val="00015BFB"/>
    <w:rsid w:val="00015EDB"/>
    <w:rsid w:val="00026E93"/>
    <w:rsid w:val="00041918"/>
    <w:rsid w:val="00042E39"/>
    <w:rsid w:val="0004491B"/>
    <w:rsid w:val="00064D22"/>
    <w:rsid w:val="00080105"/>
    <w:rsid w:val="000A0061"/>
    <w:rsid w:val="000A6B3B"/>
    <w:rsid w:val="000B63CC"/>
    <w:rsid w:val="000C7C50"/>
    <w:rsid w:val="000D26FB"/>
    <w:rsid w:val="000E501F"/>
    <w:rsid w:val="000E6F24"/>
    <w:rsid w:val="000F65FF"/>
    <w:rsid w:val="000F72AD"/>
    <w:rsid w:val="001034DA"/>
    <w:rsid w:val="0010617D"/>
    <w:rsid w:val="001163CA"/>
    <w:rsid w:val="001452CB"/>
    <w:rsid w:val="001506E9"/>
    <w:rsid w:val="00166DD7"/>
    <w:rsid w:val="00172A27"/>
    <w:rsid w:val="00187D6A"/>
    <w:rsid w:val="0019443E"/>
    <w:rsid w:val="001B6A16"/>
    <w:rsid w:val="001C396E"/>
    <w:rsid w:val="001E68D2"/>
    <w:rsid w:val="00200427"/>
    <w:rsid w:val="002040EC"/>
    <w:rsid w:val="00204BEB"/>
    <w:rsid w:val="00217072"/>
    <w:rsid w:val="002217CD"/>
    <w:rsid w:val="002254E5"/>
    <w:rsid w:val="00266EB2"/>
    <w:rsid w:val="0026734A"/>
    <w:rsid w:val="00272E7B"/>
    <w:rsid w:val="00291E13"/>
    <w:rsid w:val="00292BDC"/>
    <w:rsid w:val="002A1851"/>
    <w:rsid w:val="002B3F85"/>
    <w:rsid w:val="002B4EB7"/>
    <w:rsid w:val="002B532D"/>
    <w:rsid w:val="002C627D"/>
    <w:rsid w:val="002D0A7F"/>
    <w:rsid w:val="002E4BFD"/>
    <w:rsid w:val="002E607C"/>
    <w:rsid w:val="002F25AA"/>
    <w:rsid w:val="00301D25"/>
    <w:rsid w:val="00303048"/>
    <w:rsid w:val="00317745"/>
    <w:rsid w:val="00331B1C"/>
    <w:rsid w:val="00331EF2"/>
    <w:rsid w:val="00334743"/>
    <w:rsid w:val="00354570"/>
    <w:rsid w:val="00367434"/>
    <w:rsid w:val="00367EF9"/>
    <w:rsid w:val="00370C23"/>
    <w:rsid w:val="00371CBB"/>
    <w:rsid w:val="00375A07"/>
    <w:rsid w:val="003766C6"/>
    <w:rsid w:val="00377BC5"/>
    <w:rsid w:val="00380742"/>
    <w:rsid w:val="00391C9B"/>
    <w:rsid w:val="00396ADB"/>
    <w:rsid w:val="003A103D"/>
    <w:rsid w:val="003A7E56"/>
    <w:rsid w:val="003B1149"/>
    <w:rsid w:val="003B217C"/>
    <w:rsid w:val="003C31D2"/>
    <w:rsid w:val="003D1DD7"/>
    <w:rsid w:val="003E38AE"/>
    <w:rsid w:val="003E4BBB"/>
    <w:rsid w:val="003F7296"/>
    <w:rsid w:val="00416521"/>
    <w:rsid w:val="004265D0"/>
    <w:rsid w:val="004326F4"/>
    <w:rsid w:val="00441FB9"/>
    <w:rsid w:val="00452AB6"/>
    <w:rsid w:val="00453986"/>
    <w:rsid w:val="0045623B"/>
    <w:rsid w:val="00461AA7"/>
    <w:rsid w:val="00476112"/>
    <w:rsid w:val="00496216"/>
    <w:rsid w:val="004A5821"/>
    <w:rsid w:val="004C05FA"/>
    <w:rsid w:val="004C1151"/>
    <w:rsid w:val="004C7FE3"/>
    <w:rsid w:val="004F1990"/>
    <w:rsid w:val="004F342B"/>
    <w:rsid w:val="004F7324"/>
    <w:rsid w:val="00503141"/>
    <w:rsid w:val="00517339"/>
    <w:rsid w:val="005212D2"/>
    <w:rsid w:val="005228C9"/>
    <w:rsid w:val="00522A39"/>
    <w:rsid w:val="005420CA"/>
    <w:rsid w:val="005436CE"/>
    <w:rsid w:val="005439D4"/>
    <w:rsid w:val="00546231"/>
    <w:rsid w:val="005650A3"/>
    <w:rsid w:val="00566FDE"/>
    <w:rsid w:val="005802EF"/>
    <w:rsid w:val="00583697"/>
    <w:rsid w:val="0058704C"/>
    <w:rsid w:val="00597ADE"/>
    <w:rsid w:val="00597F47"/>
    <w:rsid w:val="005B065E"/>
    <w:rsid w:val="005B13BB"/>
    <w:rsid w:val="005D033C"/>
    <w:rsid w:val="005D14DB"/>
    <w:rsid w:val="005E6D49"/>
    <w:rsid w:val="005F1A12"/>
    <w:rsid w:val="005F3D0F"/>
    <w:rsid w:val="0062153B"/>
    <w:rsid w:val="0062167D"/>
    <w:rsid w:val="00633C6F"/>
    <w:rsid w:val="0063757E"/>
    <w:rsid w:val="006432A2"/>
    <w:rsid w:val="00643612"/>
    <w:rsid w:val="00645E5F"/>
    <w:rsid w:val="006729B0"/>
    <w:rsid w:val="00673E0E"/>
    <w:rsid w:val="00677C91"/>
    <w:rsid w:val="0068648D"/>
    <w:rsid w:val="00692187"/>
    <w:rsid w:val="006970AA"/>
    <w:rsid w:val="006A072C"/>
    <w:rsid w:val="006B10CB"/>
    <w:rsid w:val="006B63E2"/>
    <w:rsid w:val="006C19A7"/>
    <w:rsid w:val="006C61BF"/>
    <w:rsid w:val="006D3CB8"/>
    <w:rsid w:val="006D42B1"/>
    <w:rsid w:val="006E69D1"/>
    <w:rsid w:val="006F0B4C"/>
    <w:rsid w:val="006F2E5C"/>
    <w:rsid w:val="00711D48"/>
    <w:rsid w:val="00713810"/>
    <w:rsid w:val="007166E8"/>
    <w:rsid w:val="00726372"/>
    <w:rsid w:val="00736B91"/>
    <w:rsid w:val="0074089D"/>
    <w:rsid w:val="007476DD"/>
    <w:rsid w:val="00781710"/>
    <w:rsid w:val="00795FC2"/>
    <w:rsid w:val="007A0C1E"/>
    <w:rsid w:val="007A24B9"/>
    <w:rsid w:val="007A5CFF"/>
    <w:rsid w:val="007B0734"/>
    <w:rsid w:val="007B379C"/>
    <w:rsid w:val="007C6A0A"/>
    <w:rsid w:val="007C6B6F"/>
    <w:rsid w:val="007E53B8"/>
    <w:rsid w:val="007E73F1"/>
    <w:rsid w:val="007F5FF3"/>
    <w:rsid w:val="007F6B9D"/>
    <w:rsid w:val="008000B1"/>
    <w:rsid w:val="008026B7"/>
    <w:rsid w:val="00807327"/>
    <w:rsid w:val="00812554"/>
    <w:rsid w:val="00817DE9"/>
    <w:rsid w:val="00830AD9"/>
    <w:rsid w:val="00830ED1"/>
    <w:rsid w:val="00847916"/>
    <w:rsid w:val="00856229"/>
    <w:rsid w:val="00862777"/>
    <w:rsid w:val="008632D8"/>
    <w:rsid w:val="008650A2"/>
    <w:rsid w:val="0087435E"/>
    <w:rsid w:val="008776C3"/>
    <w:rsid w:val="00880E89"/>
    <w:rsid w:val="00894AD9"/>
    <w:rsid w:val="008A0205"/>
    <w:rsid w:val="008B7017"/>
    <w:rsid w:val="008B7CB0"/>
    <w:rsid w:val="008B7DB1"/>
    <w:rsid w:val="008C1A97"/>
    <w:rsid w:val="008C3050"/>
    <w:rsid w:val="008C329B"/>
    <w:rsid w:val="008C72D3"/>
    <w:rsid w:val="008D1D47"/>
    <w:rsid w:val="008D230F"/>
    <w:rsid w:val="008D38A0"/>
    <w:rsid w:val="008D54B2"/>
    <w:rsid w:val="008E0B96"/>
    <w:rsid w:val="008E587D"/>
    <w:rsid w:val="008E617E"/>
    <w:rsid w:val="008F11DE"/>
    <w:rsid w:val="0090147B"/>
    <w:rsid w:val="00930332"/>
    <w:rsid w:val="00931643"/>
    <w:rsid w:val="00953CDE"/>
    <w:rsid w:val="0096044C"/>
    <w:rsid w:val="00961B59"/>
    <w:rsid w:val="00992CAA"/>
    <w:rsid w:val="0099436F"/>
    <w:rsid w:val="009944AA"/>
    <w:rsid w:val="009C222D"/>
    <w:rsid w:val="009D1C4D"/>
    <w:rsid w:val="009D1E4F"/>
    <w:rsid w:val="009E3CEF"/>
    <w:rsid w:val="00A027EF"/>
    <w:rsid w:val="00A02943"/>
    <w:rsid w:val="00A06031"/>
    <w:rsid w:val="00A10855"/>
    <w:rsid w:val="00A12F88"/>
    <w:rsid w:val="00A14FF2"/>
    <w:rsid w:val="00A4166A"/>
    <w:rsid w:val="00A46CC4"/>
    <w:rsid w:val="00A57F9E"/>
    <w:rsid w:val="00A81490"/>
    <w:rsid w:val="00A878AE"/>
    <w:rsid w:val="00A913B8"/>
    <w:rsid w:val="00A92636"/>
    <w:rsid w:val="00A941B0"/>
    <w:rsid w:val="00AA6E04"/>
    <w:rsid w:val="00AC0ED4"/>
    <w:rsid w:val="00AD4752"/>
    <w:rsid w:val="00AE5669"/>
    <w:rsid w:val="00AF7C15"/>
    <w:rsid w:val="00B1678F"/>
    <w:rsid w:val="00B170E1"/>
    <w:rsid w:val="00B66332"/>
    <w:rsid w:val="00B72AE3"/>
    <w:rsid w:val="00B81A6F"/>
    <w:rsid w:val="00B9484C"/>
    <w:rsid w:val="00B955D3"/>
    <w:rsid w:val="00BA715F"/>
    <w:rsid w:val="00BC22AE"/>
    <w:rsid w:val="00BD47B2"/>
    <w:rsid w:val="00BD52A6"/>
    <w:rsid w:val="00BD6309"/>
    <w:rsid w:val="00BE5EFB"/>
    <w:rsid w:val="00BE641D"/>
    <w:rsid w:val="00BF0E82"/>
    <w:rsid w:val="00BF1E7C"/>
    <w:rsid w:val="00BF4B0E"/>
    <w:rsid w:val="00C039ED"/>
    <w:rsid w:val="00C134B6"/>
    <w:rsid w:val="00C137DB"/>
    <w:rsid w:val="00C166BC"/>
    <w:rsid w:val="00C239A8"/>
    <w:rsid w:val="00C27740"/>
    <w:rsid w:val="00C37341"/>
    <w:rsid w:val="00C406CC"/>
    <w:rsid w:val="00C637DC"/>
    <w:rsid w:val="00C774C8"/>
    <w:rsid w:val="00C81076"/>
    <w:rsid w:val="00C9437B"/>
    <w:rsid w:val="00CA1DBD"/>
    <w:rsid w:val="00CA6701"/>
    <w:rsid w:val="00CB2B6E"/>
    <w:rsid w:val="00CB5FCE"/>
    <w:rsid w:val="00CB7131"/>
    <w:rsid w:val="00CC4532"/>
    <w:rsid w:val="00CD3761"/>
    <w:rsid w:val="00CE1AD7"/>
    <w:rsid w:val="00D01D40"/>
    <w:rsid w:val="00D20A97"/>
    <w:rsid w:val="00D21819"/>
    <w:rsid w:val="00D26B1F"/>
    <w:rsid w:val="00D40D43"/>
    <w:rsid w:val="00D50681"/>
    <w:rsid w:val="00D50800"/>
    <w:rsid w:val="00D5574F"/>
    <w:rsid w:val="00D62C07"/>
    <w:rsid w:val="00D70ECB"/>
    <w:rsid w:val="00DA5F51"/>
    <w:rsid w:val="00DB0ACF"/>
    <w:rsid w:val="00DB6BD7"/>
    <w:rsid w:val="00DC0F8B"/>
    <w:rsid w:val="00DD4B55"/>
    <w:rsid w:val="00E06B21"/>
    <w:rsid w:val="00E2140B"/>
    <w:rsid w:val="00E31E1F"/>
    <w:rsid w:val="00E40E07"/>
    <w:rsid w:val="00E56DD3"/>
    <w:rsid w:val="00E61B28"/>
    <w:rsid w:val="00E62A3D"/>
    <w:rsid w:val="00E67314"/>
    <w:rsid w:val="00E77887"/>
    <w:rsid w:val="00E85B8C"/>
    <w:rsid w:val="00E920C5"/>
    <w:rsid w:val="00EA4E8D"/>
    <w:rsid w:val="00EA62E5"/>
    <w:rsid w:val="00EA76D3"/>
    <w:rsid w:val="00EC0827"/>
    <w:rsid w:val="00F01154"/>
    <w:rsid w:val="00F4095D"/>
    <w:rsid w:val="00F40E52"/>
    <w:rsid w:val="00F60223"/>
    <w:rsid w:val="00F765F4"/>
    <w:rsid w:val="00F958CC"/>
    <w:rsid w:val="00F97C0B"/>
    <w:rsid w:val="00FA3BED"/>
    <w:rsid w:val="00FA552B"/>
    <w:rsid w:val="00FA62E6"/>
    <w:rsid w:val="00FB5ABE"/>
    <w:rsid w:val="00FC3033"/>
    <w:rsid w:val="00FD2DE4"/>
    <w:rsid w:val="00FE01EF"/>
    <w:rsid w:val="00FE4365"/>
    <w:rsid w:val="00FF1E19"/>
    <w:rsid w:val="00FF2B35"/>
    <w:rsid w:val="00FF412A"/>
    <w:rsid w:val="0112254F"/>
    <w:rsid w:val="01166C39"/>
    <w:rsid w:val="011C748B"/>
    <w:rsid w:val="01307DB8"/>
    <w:rsid w:val="01764F01"/>
    <w:rsid w:val="019E0494"/>
    <w:rsid w:val="01BC6EAA"/>
    <w:rsid w:val="01BD387A"/>
    <w:rsid w:val="01EA1306"/>
    <w:rsid w:val="01ED62FC"/>
    <w:rsid w:val="01FD3C72"/>
    <w:rsid w:val="022371D7"/>
    <w:rsid w:val="024D6B6A"/>
    <w:rsid w:val="02585A0D"/>
    <w:rsid w:val="026B46B1"/>
    <w:rsid w:val="029B04E7"/>
    <w:rsid w:val="02B53888"/>
    <w:rsid w:val="03073BDC"/>
    <w:rsid w:val="032134E9"/>
    <w:rsid w:val="033F44DC"/>
    <w:rsid w:val="037B5FB5"/>
    <w:rsid w:val="03915DEB"/>
    <w:rsid w:val="03985ACE"/>
    <w:rsid w:val="03D4716A"/>
    <w:rsid w:val="042900C9"/>
    <w:rsid w:val="04A45057"/>
    <w:rsid w:val="04EE0CCB"/>
    <w:rsid w:val="0555228E"/>
    <w:rsid w:val="055870D1"/>
    <w:rsid w:val="056C3AED"/>
    <w:rsid w:val="058A1330"/>
    <w:rsid w:val="059D1E39"/>
    <w:rsid w:val="05E078B3"/>
    <w:rsid w:val="064035FC"/>
    <w:rsid w:val="066F1ED1"/>
    <w:rsid w:val="06D01934"/>
    <w:rsid w:val="070C599D"/>
    <w:rsid w:val="07250881"/>
    <w:rsid w:val="072B5A2B"/>
    <w:rsid w:val="07322F8B"/>
    <w:rsid w:val="07587973"/>
    <w:rsid w:val="075E42FF"/>
    <w:rsid w:val="077D0583"/>
    <w:rsid w:val="077E373B"/>
    <w:rsid w:val="079724D0"/>
    <w:rsid w:val="07A3082E"/>
    <w:rsid w:val="082A352F"/>
    <w:rsid w:val="084343C9"/>
    <w:rsid w:val="084E1E18"/>
    <w:rsid w:val="08581907"/>
    <w:rsid w:val="088E2DBB"/>
    <w:rsid w:val="089D5DBC"/>
    <w:rsid w:val="08B05670"/>
    <w:rsid w:val="08C349D1"/>
    <w:rsid w:val="08C805D7"/>
    <w:rsid w:val="08CC0D13"/>
    <w:rsid w:val="09082337"/>
    <w:rsid w:val="093D6246"/>
    <w:rsid w:val="094A5FC4"/>
    <w:rsid w:val="0993533A"/>
    <w:rsid w:val="09BE4947"/>
    <w:rsid w:val="09F67CD5"/>
    <w:rsid w:val="0A7B50B4"/>
    <w:rsid w:val="0A8A3FFF"/>
    <w:rsid w:val="0ACC4468"/>
    <w:rsid w:val="0B3D5147"/>
    <w:rsid w:val="0B6B20A7"/>
    <w:rsid w:val="0B9E71DF"/>
    <w:rsid w:val="0BB427D1"/>
    <w:rsid w:val="0BCD5C26"/>
    <w:rsid w:val="0BF10670"/>
    <w:rsid w:val="0C6F272A"/>
    <w:rsid w:val="0C9036C8"/>
    <w:rsid w:val="0C9D30C2"/>
    <w:rsid w:val="0CA126F2"/>
    <w:rsid w:val="0CEA509E"/>
    <w:rsid w:val="0D2F3891"/>
    <w:rsid w:val="0D9D65F4"/>
    <w:rsid w:val="0DEE7CA5"/>
    <w:rsid w:val="0DF0110D"/>
    <w:rsid w:val="0E172BD0"/>
    <w:rsid w:val="0E347579"/>
    <w:rsid w:val="0E6A1ECE"/>
    <w:rsid w:val="0E8F0168"/>
    <w:rsid w:val="0E9B4F32"/>
    <w:rsid w:val="0EC34966"/>
    <w:rsid w:val="0F0B4FFE"/>
    <w:rsid w:val="0F1E67DB"/>
    <w:rsid w:val="0F1F779F"/>
    <w:rsid w:val="0F4435CF"/>
    <w:rsid w:val="0F9861DB"/>
    <w:rsid w:val="0FA67E91"/>
    <w:rsid w:val="0FD80B60"/>
    <w:rsid w:val="0FDB5B48"/>
    <w:rsid w:val="10860503"/>
    <w:rsid w:val="10A50104"/>
    <w:rsid w:val="10A85FA8"/>
    <w:rsid w:val="10B658BE"/>
    <w:rsid w:val="10BA5ACA"/>
    <w:rsid w:val="10BE1004"/>
    <w:rsid w:val="10FA22E3"/>
    <w:rsid w:val="115B3410"/>
    <w:rsid w:val="117A531D"/>
    <w:rsid w:val="119D7849"/>
    <w:rsid w:val="11AC1F75"/>
    <w:rsid w:val="12224E53"/>
    <w:rsid w:val="122658B9"/>
    <w:rsid w:val="1242135C"/>
    <w:rsid w:val="1256212E"/>
    <w:rsid w:val="12AE3906"/>
    <w:rsid w:val="12C76FC6"/>
    <w:rsid w:val="12CB14EC"/>
    <w:rsid w:val="12D00DD7"/>
    <w:rsid w:val="13344428"/>
    <w:rsid w:val="133C5CE2"/>
    <w:rsid w:val="133F535B"/>
    <w:rsid w:val="136C3D77"/>
    <w:rsid w:val="139D335C"/>
    <w:rsid w:val="13A1683F"/>
    <w:rsid w:val="13C2790D"/>
    <w:rsid w:val="141B6583"/>
    <w:rsid w:val="14400B3F"/>
    <w:rsid w:val="1442596B"/>
    <w:rsid w:val="144714E3"/>
    <w:rsid w:val="146A0337"/>
    <w:rsid w:val="14AC00B9"/>
    <w:rsid w:val="14D55B5C"/>
    <w:rsid w:val="14DA3DA1"/>
    <w:rsid w:val="14FC2402"/>
    <w:rsid w:val="15284EB8"/>
    <w:rsid w:val="155F3495"/>
    <w:rsid w:val="15BB7E2E"/>
    <w:rsid w:val="164B2296"/>
    <w:rsid w:val="17155857"/>
    <w:rsid w:val="173B456E"/>
    <w:rsid w:val="1775234A"/>
    <w:rsid w:val="17950508"/>
    <w:rsid w:val="17C72718"/>
    <w:rsid w:val="18537599"/>
    <w:rsid w:val="188D68E8"/>
    <w:rsid w:val="189C69D9"/>
    <w:rsid w:val="18A72928"/>
    <w:rsid w:val="18C87C77"/>
    <w:rsid w:val="18F90C9A"/>
    <w:rsid w:val="19010C43"/>
    <w:rsid w:val="19013AC7"/>
    <w:rsid w:val="19084C73"/>
    <w:rsid w:val="194A0457"/>
    <w:rsid w:val="194F6F37"/>
    <w:rsid w:val="196018AD"/>
    <w:rsid w:val="196E5824"/>
    <w:rsid w:val="19AF5AFD"/>
    <w:rsid w:val="19BF7943"/>
    <w:rsid w:val="1A054259"/>
    <w:rsid w:val="1A097942"/>
    <w:rsid w:val="1AB279FF"/>
    <w:rsid w:val="1ACB6909"/>
    <w:rsid w:val="1B2B6940"/>
    <w:rsid w:val="1B356FC9"/>
    <w:rsid w:val="1B5838BD"/>
    <w:rsid w:val="1B7F6005"/>
    <w:rsid w:val="1BA05608"/>
    <w:rsid w:val="1BAF4E35"/>
    <w:rsid w:val="1BAF6DD1"/>
    <w:rsid w:val="1BE82D8F"/>
    <w:rsid w:val="1C0F5C4A"/>
    <w:rsid w:val="1C132CB9"/>
    <w:rsid w:val="1C346C57"/>
    <w:rsid w:val="1CAA2901"/>
    <w:rsid w:val="1CB92F89"/>
    <w:rsid w:val="1CCC26CA"/>
    <w:rsid w:val="1D133E21"/>
    <w:rsid w:val="1D3A10D4"/>
    <w:rsid w:val="1D6041FB"/>
    <w:rsid w:val="1D786BCA"/>
    <w:rsid w:val="1D805936"/>
    <w:rsid w:val="1DA83A0D"/>
    <w:rsid w:val="1DDF2ACE"/>
    <w:rsid w:val="1E94181D"/>
    <w:rsid w:val="1E9D6342"/>
    <w:rsid w:val="1EBF09C1"/>
    <w:rsid w:val="1ECD4B11"/>
    <w:rsid w:val="1ED879BC"/>
    <w:rsid w:val="1EF17B6F"/>
    <w:rsid w:val="1F6170A9"/>
    <w:rsid w:val="1F6200DE"/>
    <w:rsid w:val="1F652C38"/>
    <w:rsid w:val="1F9C5BBE"/>
    <w:rsid w:val="1FE14460"/>
    <w:rsid w:val="20200CA4"/>
    <w:rsid w:val="203063E1"/>
    <w:rsid w:val="204E6676"/>
    <w:rsid w:val="205C6F65"/>
    <w:rsid w:val="205F334B"/>
    <w:rsid w:val="20AA7DFE"/>
    <w:rsid w:val="20CB576A"/>
    <w:rsid w:val="20DC4C14"/>
    <w:rsid w:val="210634E6"/>
    <w:rsid w:val="21241A3D"/>
    <w:rsid w:val="215416B9"/>
    <w:rsid w:val="21615267"/>
    <w:rsid w:val="2194141D"/>
    <w:rsid w:val="2195668B"/>
    <w:rsid w:val="21A2535F"/>
    <w:rsid w:val="21AC0BE7"/>
    <w:rsid w:val="21BE044A"/>
    <w:rsid w:val="21BE5AD4"/>
    <w:rsid w:val="21CA2BAC"/>
    <w:rsid w:val="224E2FB0"/>
    <w:rsid w:val="22C84A78"/>
    <w:rsid w:val="23081A49"/>
    <w:rsid w:val="23A82A04"/>
    <w:rsid w:val="24210188"/>
    <w:rsid w:val="243066C8"/>
    <w:rsid w:val="24582DBC"/>
    <w:rsid w:val="245C52F8"/>
    <w:rsid w:val="2463385E"/>
    <w:rsid w:val="24B3612C"/>
    <w:rsid w:val="24CB3B1A"/>
    <w:rsid w:val="24DC7AA4"/>
    <w:rsid w:val="250D568B"/>
    <w:rsid w:val="25134332"/>
    <w:rsid w:val="25191F5C"/>
    <w:rsid w:val="251E5D80"/>
    <w:rsid w:val="254C3941"/>
    <w:rsid w:val="25572F6C"/>
    <w:rsid w:val="256555F8"/>
    <w:rsid w:val="257E508F"/>
    <w:rsid w:val="258A5CB8"/>
    <w:rsid w:val="25AA2ADA"/>
    <w:rsid w:val="25BF0A19"/>
    <w:rsid w:val="25CA37BB"/>
    <w:rsid w:val="25E06614"/>
    <w:rsid w:val="261A61EB"/>
    <w:rsid w:val="267E150F"/>
    <w:rsid w:val="26BF5712"/>
    <w:rsid w:val="26C46931"/>
    <w:rsid w:val="26F173AA"/>
    <w:rsid w:val="26F24A28"/>
    <w:rsid w:val="26F71EC7"/>
    <w:rsid w:val="274120CE"/>
    <w:rsid w:val="276D22A6"/>
    <w:rsid w:val="27805ED2"/>
    <w:rsid w:val="27AB7429"/>
    <w:rsid w:val="27B806C7"/>
    <w:rsid w:val="27F46C2F"/>
    <w:rsid w:val="27F713BD"/>
    <w:rsid w:val="280D0ABD"/>
    <w:rsid w:val="281418B3"/>
    <w:rsid w:val="285C053E"/>
    <w:rsid w:val="28641BC7"/>
    <w:rsid w:val="28706B14"/>
    <w:rsid w:val="28795D57"/>
    <w:rsid w:val="28CB2F20"/>
    <w:rsid w:val="290A7633"/>
    <w:rsid w:val="2945677B"/>
    <w:rsid w:val="296A164B"/>
    <w:rsid w:val="299711A3"/>
    <w:rsid w:val="29FA7F26"/>
    <w:rsid w:val="2A0F0262"/>
    <w:rsid w:val="2A11490E"/>
    <w:rsid w:val="2A24123C"/>
    <w:rsid w:val="2A7903F8"/>
    <w:rsid w:val="2A9E41A6"/>
    <w:rsid w:val="2AD176E8"/>
    <w:rsid w:val="2B774832"/>
    <w:rsid w:val="2BC93350"/>
    <w:rsid w:val="2BE1364E"/>
    <w:rsid w:val="2C0A1E9D"/>
    <w:rsid w:val="2C4735A9"/>
    <w:rsid w:val="2C5312D1"/>
    <w:rsid w:val="2C9B39D4"/>
    <w:rsid w:val="2CA1029C"/>
    <w:rsid w:val="2CDB2A32"/>
    <w:rsid w:val="2CE74D9A"/>
    <w:rsid w:val="2CE94FBB"/>
    <w:rsid w:val="2D036243"/>
    <w:rsid w:val="2D11052F"/>
    <w:rsid w:val="2D2713FE"/>
    <w:rsid w:val="2D644464"/>
    <w:rsid w:val="2DAA1531"/>
    <w:rsid w:val="2DD31482"/>
    <w:rsid w:val="2DED4837"/>
    <w:rsid w:val="2DF81D7C"/>
    <w:rsid w:val="2DFC12C6"/>
    <w:rsid w:val="2E1D34F9"/>
    <w:rsid w:val="2E592BD6"/>
    <w:rsid w:val="2E9F709C"/>
    <w:rsid w:val="2ED53BA8"/>
    <w:rsid w:val="2EED0A13"/>
    <w:rsid w:val="2F031089"/>
    <w:rsid w:val="2F1251F2"/>
    <w:rsid w:val="2FBD09F9"/>
    <w:rsid w:val="3050272A"/>
    <w:rsid w:val="30660B82"/>
    <w:rsid w:val="30962F3E"/>
    <w:rsid w:val="309F648F"/>
    <w:rsid w:val="30AA51DE"/>
    <w:rsid w:val="30B43BCB"/>
    <w:rsid w:val="30D17E68"/>
    <w:rsid w:val="30E43B67"/>
    <w:rsid w:val="30FF2795"/>
    <w:rsid w:val="310E3D65"/>
    <w:rsid w:val="3164591C"/>
    <w:rsid w:val="3199741D"/>
    <w:rsid w:val="31A561FB"/>
    <w:rsid w:val="31AA2223"/>
    <w:rsid w:val="31C63526"/>
    <w:rsid w:val="31FD180E"/>
    <w:rsid w:val="3214373A"/>
    <w:rsid w:val="32586AD3"/>
    <w:rsid w:val="327F30CF"/>
    <w:rsid w:val="329A6ACE"/>
    <w:rsid w:val="32AB75FA"/>
    <w:rsid w:val="32C64BD3"/>
    <w:rsid w:val="334F3544"/>
    <w:rsid w:val="33834A37"/>
    <w:rsid w:val="33A253D1"/>
    <w:rsid w:val="33FF73F9"/>
    <w:rsid w:val="34371266"/>
    <w:rsid w:val="345B1306"/>
    <w:rsid w:val="348D3D32"/>
    <w:rsid w:val="34EC39C4"/>
    <w:rsid w:val="35191B59"/>
    <w:rsid w:val="35997ED3"/>
    <w:rsid w:val="35B0594E"/>
    <w:rsid w:val="35C47CF3"/>
    <w:rsid w:val="35D5780F"/>
    <w:rsid w:val="360673D5"/>
    <w:rsid w:val="360B1D73"/>
    <w:rsid w:val="360B7EE7"/>
    <w:rsid w:val="361F3323"/>
    <w:rsid w:val="364A298F"/>
    <w:rsid w:val="364A7B2B"/>
    <w:rsid w:val="3659312E"/>
    <w:rsid w:val="3681117A"/>
    <w:rsid w:val="36E93760"/>
    <w:rsid w:val="3784394E"/>
    <w:rsid w:val="379B41C4"/>
    <w:rsid w:val="37F25734"/>
    <w:rsid w:val="380A0B96"/>
    <w:rsid w:val="38337F5B"/>
    <w:rsid w:val="385135F5"/>
    <w:rsid w:val="385F665C"/>
    <w:rsid w:val="388E6551"/>
    <w:rsid w:val="38AE3BB0"/>
    <w:rsid w:val="38DC5505"/>
    <w:rsid w:val="390A0CE1"/>
    <w:rsid w:val="391F7D60"/>
    <w:rsid w:val="392E58B6"/>
    <w:rsid w:val="39496AE3"/>
    <w:rsid w:val="3985660B"/>
    <w:rsid w:val="39BB13DA"/>
    <w:rsid w:val="39DB06B3"/>
    <w:rsid w:val="3A127976"/>
    <w:rsid w:val="3A1704BF"/>
    <w:rsid w:val="3A7E5091"/>
    <w:rsid w:val="3AC2467B"/>
    <w:rsid w:val="3AC253ED"/>
    <w:rsid w:val="3ACB5746"/>
    <w:rsid w:val="3AD258E7"/>
    <w:rsid w:val="3AE826D9"/>
    <w:rsid w:val="3B047F30"/>
    <w:rsid w:val="3B3664CC"/>
    <w:rsid w:val="3B485685"/>
    <w:rsid w:val="3B673648"/>
    <w:rsid w:val="3BB20883"/>
    <w:rsid w:val="3BF5659F"/>
    <w:rsid w:val="3C134C38"/>
    <w:rsid w:val="3C394599"/>
    <w:rsid w:val="3C635BF2"/>
    <w:rsid w:val="3C7B540C"/>
    <w:rsid w:val="3C8C0B9E"/>
    <w:rsid w:val="3CE82456"/>
    <w:rsid w:val="3D0527AD"/>
    <w:rsid w:val="3D1D3E8C"/>
    <w:rsid w:val="3D7830E2"/>
    <w:rsid w:val="3D9F080E"/>
    <w:rsid w:val="3DA8275C"/>
    <w:rsid w:val="3DAD7029"/>
    <w:rsid w:val="3DDE6765"/>
    <w:rsid w:val="3E39525D"/>
    <w:rsid w:val="3E441C7D"/>
    <w:rsid w:val="3E7F0554"/>
    <w:rsid w:val="3ECB2614"/>
    <w:rsid w:val="3F104E7C"/>
    <w:rsid w:val="3F1E19C9"/>
    <w:rsid w:val="3F8D2B60"/>
    <w:rsid w:val="3FC956FF"/>
    <w:rsid w:val="400131B8"/>
    <w:rsid w:val="40151C98"/>
    <w:rsid w:val="402B196F"/>
    <w:rsid w:val="40375763"/>
    <w:rsid w:val="406B12D1"/>
    <w:rsid w:val="40903A47"/>
    <w:rsid w:val="409C0D37"/>
    <w:rsid w:val="40A36A71"/>
    <w:rsid w:val="40CB3E39"/>
    <w:rsid w:val="40D07704"/>
    <w:rsid w:val="410E4736"/>
    <w:rsid w:val="414D38DC"/>
    <w:rsid w:val="4169226D"/>
    <w:rsid w:val="419752E1"/>
    <w:rsid w:val="41A14CA0"/>
    <w:rsid w:val="41BC286E"/>
    <w:rsid w:val="41C577BA"/>
    <w:rsid w:val="41D3631F"/>
    <w:rsid w:val="41F46181"/>
    <w:rsid w:val="41F466FD"/>
    <w:rsid w:val="422B0BD2"/>
    <w:rsid w:val="427E2C9C"/>
    <w:rsid w:val="428434A1"/>
    <w:rsid w:val="42A67A24"/>
    <w:rsid w:val="42B84DF7"/>
    <w:rsid w:val="42C41DEF"/>
    <w:rsid w:val="42D846B9"/>
    <w:rsid w:val="43015D68"/>
    <w:rsid w:val="432B156A"/>
    <w:rsid w:val="433817F8"/>
    <w:rsid w:val="43625625"/>
    <w:rsid w:val="43B97E64"/>
    <w:rsid w:val="43D54F80"/>
    <w:rsid w:val="440D5045"/>
    <w:rsid w:val="4466378D"/>
    <w:rsid w:val="44F5724A"/>
    <w:rsid w:val="4555581D"/>
    <w:rsid w:val="457602B0"/>
    <w:rsid w:val="45BE6191"/>
    <w:rsid w:val="45BF679F"/>
    <w:rsid w:val="45FE24FC"/>
    <w:rsid w:val="460C5979"/>
    <w:rsid w:val="46AC250E"/>
    <w:rsid w:val="46C56CAD"/>
    <w:rsid w:val="46E90846"/>
    <w:rsid w:val="46FF61C2"/>
    <w:rsid w:val="473430FD"/>
    <w:rsid w:val="4740667C"/>
    <w:rsid w:val="47672D4D"/>
    <w:rsid w:val="47B91BC2"/>
    <w:rsid w:val="47C01792"/>
    <w:rsid w:val="47C215CA"/>
    <w:rsid w:val="47D3679D"/>
    <w:rsid w:val="47DA737E"/>
    <w:rsid w:val="47E73D60"/>
    <w:rsid w:val="47F831A1"/>
    <w:rsid w:val="4808150F"/>
    <w:rsid w:val="483841CB"/>
    <w:rsid w:val="48655CDB"/>
    <w:rsid w:val="488A4F97"/>
    <w:rsid w:val="48AD6ED3"/>
    <w:rsid w:val="48C169FF"/>
    <w:rsid w:val="48D321B5"/>
    <w:rsid w:val="48DC6BCF"/>
    <w:rsid w:val="49701211"/>
    <w:rsid w:val="49D97C4F"/>
    <w:rsid w:val="49E9233D"/>
    <w:rsid w:val="4A2324A9"/>
    <w:rsid w:val="4A2C54FD"/>
    <w:rsid w:val="4A3703C6"/>
    <w:rsid w:val="4AAD1944"/>
    <w:rsid w:val="4AAE33DD"/>
    <w:rsid w:val="4AC31003"/>
    <w:rsid w:val="4AE93159"/>
    <w:rsid w:val="4AF26901"/>
    <w:rsid w:val="4AF8354A"/>
    <w:rsid w:val="4B0B4636"/>
    <w:rsid w:val="4B101FF1"/>
    <w:rsid w:val="4B3B3C56"/>
    <w:rsid w:val="4B6F5171"/>
    <w:rsid w:val="4B894E29"/>
    <w:rsid w:val="4B8A38B7"/>
    <w:rsid w:val="4BD0339A"/>
    <w:rsid w:val="4BE255AD"/>
    <w:rsid w:val="4C154D1E"/>
    <w:rsid w:val="4C1E62FB"/>
    <w:rsid w:val="4C247E4A"/>
    <w:rsid w:val="4C496DB3"/>
    <w:rsid w:val="4C8E2AE9"/>
    <w:rsid w:val="4D2455C6"/>
    <w:rsid w:val="4D462159"/>
    <w:rsid w:val="4D4A2DC7"/>
    <w:rsid w:val="4D553300"/>
    <w:rsid w:val="4D5C5FAC"/>
    <w:rsid w:val="4D7D6E2D"/>
    <w:rsid w:val="4DA00E6E"/>
    <w:rsid w:val="4DC605B6"/>
    <w:rsid w:val="4DEC0985"/>
    <w:rsid w:val="4E27683A"/>
    <w:rsid w:val="4EF32FFF"/>
    <w:rsid w:val="4F232A9C"/>
    <w:rsid w:val="4F2765B1"/>
    <w:rsid w:val="4F285975"/>
    <w:rsid w:val="4F5E2A8B"/>
    <w:rsid w:val="4FBF79AC"/>
    <w:rsid w:val="4FE30CD5"/>
    <w:rsid w:val="50290C55"/>
    <w:rsid w:val="50520EBB"/>
    <w:rsid w:val="50607024"/>
    <w:rsid w:val="506A4F14"/>
    <w:rsid w:val="50701CEF"/>
    <w:rsid w:val="50751061"/>
    <w:rsid w:val="507C5FAD"/>
    <w:rsid w:val="507E3A43"/>
    <w:rsid w:val="50BE2993"/>
    <w:rsid w:val="50D63702"/>
    <w:rsid w:val="51101AA1"/>
    <w:rsid w:val="512F1290"/>
    <w:rsid w:val="51796EDE"/>
    <w:rsid w:val="51867298"/>
    <w:rsid w:val="518D4602"/>
    <w:rsid w:val="521936F1"/>
    <w:rsid w:val="52195EDF"/>
    <w:rsid w:val="52313387"/>
    <w:rsid w:val="523C02D8"/>
    <w:rsid w:val="52480238"/>
    <w:rsid w:val="525767B4"/>
    <w:rsid w:val="529357CD"/>
    <w:rsid w:val="529526FD"/>
    <w:rsid w:val="52D4333A"/>
    <w:rsid w:val="52E04D27"/>
    <w:rsid w:val="53492294"/>
    <w:rsid w:val="539A390F"/>
    <w:rsid w:val="53A045B0"/>
    <w:rsid w:val="53DB3477"/>
    <w:rsid w:val="54AF6B42"/>
    <w:rsid w:val="54B205EE"/>
    <w:rsid w:val="54E218CB"/>
    <w:rsid w:val="54E44BF8"/>
    <w:rsid w:val="54E80108"/>
    <w:rsid w:val="54FC325C"/>
    <w:rsid w:val="55050D67"/>
    <w:rsid w:val="559C3368"/>
    <w:rsid w:val="55DD6F2A"/>
    <w:rsid w:val="55F72D1E"/>
    <w:rsid w:val="56022FBC"/>
    <w:rsid w:val="562805B1"/>
    <w:rsid w:val="56553261"/>
    <w:rsid w:val="565975B0"/>
    <w:rsid w:val="56B41A58"/>
    <w:rsid w:val="56BC356A"/>
    <w:rsid w:val="56D577C5"/>
    <w:rsid w:val="56E23970"/>
    <w:rsid w:val="570856B7"/>
    <w:rsid w:val="573547FD"/>
    <w:rsid w:val="577A3C7D"/>
    <w:rsid w:val="578F220A"/>
    <w:rsid w:val="5798657F"/>
    <w:rsid w:val="57B06157"/>
    <w:rsid w:val="57D503EA"/>
    <w:rsid w:val="57FC07D9"/>
    <w:rsid w:val="58500F22"/>
    <w:rsid w:val="58581669"/>
    <w:rsid w:val="58B82BCC"/>
    <w:rsid w:val="590D1052"/>
    <w:rsid w:val="591C0009"/>
    <w:rsid w:val="594B01A6"/>
    <w:rsid w:val="59610A7F"/>
    <w:rsid w:val="59687D7F"/>
    <w:rsid w:val="59912A3B"/>
    <w:rsid w:val="599C51D2"/>
    <w:rsid w:val="59A353EA"/>
    <w:rsid w:val="59A81F44"/>
    <w:rsid w:val="59AA2571"/>
    <w:rsid w:val="59B15F48"/>
    <w:rsid w:val="59C600B6"/>
    <w:rsid w:val="59D15A81"/>
    <w:rsid w:val="59F13672"/>
    <w:rsid w:val="5A07523D"/>
    <w:rsid w:val="5A2802D2"/>
    <w:rsid w:val="5A553984"/>
    <w:rsid w:val="5A637974"/>
    <w:rsid w:val="5ACF0F3A"/>
    <w:rsid w:val="5AD450DC"/>
    <w:rsid w:val="5AEE752B"/>
    <w:rsid w:val="5B7D506F"/>
    <w:rsid w:val="5BD20414"/>
    <w:rsid w:val="5BF54BBF"/>
    <w:rsid w:val="5C6B1600"/>
    <w:rsid w:val="5C8B39C5"/>
    <w:rsid w:val="5C921AD0"/>
    <w:rsid w:val="5CAF7180"/>
    <w:rsid w:val="5CCD5BE1"/>
    <w:rsid w:val="5CD94ADB"/>
    <w:rsid w:val="5CE45D66"/>
    <w:rsid w:val="5D182295"/>
    <w:rsid w:val="5D237020"/>
    <w:rsid w:val="5D3D3693"/>
    <w:rsid w:val="5D5F741C"/>
    <w:rsid w:val="5DAE151D"/>
    <w:rsid w:val="5DC07B62"/>
    <w:rsid w:val="5DFD51DB"/>
    <w:rsid w:val="5E0D36E5"/>
    <w:rsid w:val="5E7510E4"/>
    <w:rsid w:val="5EBD3AB4"/>
    <w:rsid w:val="5ED711BC"/>
    <w:rsid w:val="5F0A3BA8"/>
    <w:rsid w:val="5F1A5A71"/>
    <w:rsid w:val="5F3D3A73"/>
    <w:rsid w:val="5F434754"/>
    <w:rsid w:val="5F9E6C40"/>
    <w:rsid w:val="5FE87018"/>
    <w:rsid w:val="602765D8"/>
    <w:rsid w:val="602F201A"/>
    <w:rsid w:val="605F1B37"/>
    <w:rsid w:val="607C3753"/>
    <w:rsid w:val="6090190A"/>
    <w:rsid w:val="609578A8"/>
    <w:rsid w:val="60C30855"/>
    <w:rsid w:val="60CC7FFA"/>
    <w:rsid w:val="610B17E6"/>
    <w:rsid w:val="61421EFD"/>
    <w:rsid w:val="615C2588"/>
    <w:rsid w:val="615C5041"/>
    <w:rsid w:val="61D705BD"/>
    <w:rsid w:val="61DA2867"/>
    <w:rsid w:val="61DD59E8"/>
    <w:rsid w:val="61E56B7B"/>
    <w:rsid w:val="62420984"/>
    <w:rsid w:val="626C4E5F"/>
    <w:rsid w:val="627D0863"/>
    <w:rsid w:val="634B3A82"/>
    <w:rsid w:val="63523344"/>
    <w:rsid w:val="63560707"/>
    <w:rsid w:val="6357067F"/>
    <w:rsid w:val="63D03DEE"/>
    <w:rsid w:val="63DD6E9C"/>
    <w:rsid w:val="641A2384"/>
    <w:rsid w:val="642167EE"/>
    <w:rsid w:val="64CB6601"/>
    <w:rsid w:val="64EF3666"/>
    <w:rsid w:val="64FC1880"/>
    <w:rsid w:val="65094EFF"/>
    <w:rsid w:val="651B3798"/>
    <w:rsid w:val="65370CD5"/>
    <w:rsid w:val="65847BBF"/>
    <w:rsid w:val="65B57404"/>
    <w:rsid w:val="65B93A8D"/>
    <w:rsid w:val="65CA1E2C"/>
    <w:rsid w:val="661746DD"/>
    <w:rsid w:val="664805B8"/>
    <w:rsid w:val="665E34DC"/>
    <w:rsid w:val="66C053F3"/>
    <w:rsid w:val="66CD03F2"/>
    <w:rsid w:val="66D221EE"/>
    <w:rsid w:val="66DA55D7"/>
    <w:rsid w:val="66F82180"/>
    <w:rsid w:val="670F41E0"/>
    <w:rsid w:val="677D25E8"/>
    <w:rsid w:val="678A787F"/>
    <w:rsid w:val="67BD0300"/>
    <w:rsid w:val="67D325C4"/>
    <w:rsid w:val="68031C5B"/>
    <w:rsid w:val="682616B3"/>
    <w:rsid w:val="682A4EAB"/>
    <w:rsid w:val="684D34F9"/>
    <w:rsid w:val="68F533A3"/>
    <w:rsid w:val="690453B7"/>
    <w:rsid w:val="690B53E9"/>
    <w:rsid w:val="690F418B"/>
    <w:rsid w:val="699323D6"/>
    <w:rsid w:val="69B32313"/>
    <w:rsid w:val="6A0409C8"/>
    <w:rsid w:val="6A741183"/>
    <w:rsid w:val="6A7A2736"/>
    <w:rsid w:val="6A7B4B9C"/>
    <w:rsid w:val="6AA651A8"/>
    <w:rsid w:val="6ACA0000"/>
    <w:rsid w:val="6AEB121D"/>
    <w:rsid w:val="6AFB78C4"/>
    <w:rsid w:val="6B004CFA"/>
    <w:rsid w:val="6B120A68"/>
    <w:rsid w:val="6B296347"/>
    <w:rsid w:val="6B586E1F"/>
    <w:rsid w:val="6BAF5652"/>
    <w:rsid w:val="6C6F4FDA"/>
    <w:rsid w:val="6C89456C"/>
    <w:rsid w:val="6CA35C83"/>
    <w:rsid w:val="6CA52710"/>
    <w:rsid w:val="6CAC58B4"/>
    <w:rsid w:val="6D4A2539"/>
    <w:rsid w:val="6D572C9F"/>
    <w:rsid w:val="6D97094D"/>
    <w:rsid w:val="6DAE632B"/>
    <w:rsid w:val="6DF009F6"/>
    <w:rsid w:val="6E217EA6"/>
    <w:rsid w:val="6E2666BC"/>
    <w:rsid w:val="6E2F175D"/>
    <w:rsid w:val="6E4E5E29"/>
    <w:rsid w:val="6E6F4EE5"/>
    <w:rsid w:val="6E8959F5"/>
    <w:rsid w:val="6E92046B"/>
    <w:rsid w:val="6EBC6999"/>
    <w:rsid w:val="6EDF5FC3"/>
    <w:rsid w:val="6EF90D33"/>
    <w:rsid w:val="6F3F60AD"/>
    <w:rsid w:val="6F7A5D4F"/>
    <w:rsid w:val="6F901B66"/>
    <w:rsid w:val="6FA629D4"/>
    <w:rsid w:val="6FA70F58"/>
    <w:rsid w:val="6FD10552"/>
    <w:rsid w:val="70014D67"/>
    <w:rsid w:val="70117B8A"/>
    <w:rsid w:val="70360B36"/>
    <w:rsid w:val="704F39D7"/>
    <w:rsid w:val="70BB2EF0"/>
    <w:rsid w:val="70CC6A1F"/>
    <w:rsid w:val="70CE0A84"/>
    <w:rsid w:val="70E10DC3"/>
    <w:rsid w:val="70F054AD"/>
    <w:rsid w:val="71095983"/>
    <w:rsid w:val="712D59A6"/>
    <w:rsid w:val="71402F8B"/>
    <w:rsid w:val="71475ADB"/>
    <w:rsid w:val="717140CF"/>
    <w:rsid w:val="718F10F7"/>
    <w:rsid w:val="71D55C91"/>
    <w:rsid w:val="71DE13EC"/>
    <w:rsid w:val="722B37CD"/>
    <w:rsid w:val="72305A9A"/>
    <w:rsid w:val="72427DB1"/>
    <w:rsid w:val="726B260D"/>
    <w:rsid w:val="73287A23"/>
    <w:rsid w:val="7331324E"/>
    <w:rsid w:val="733946CF"/>
    <w:rsid w:val="73455C21"/>
    <w:rsid w:val="73710635"/>
    <w:rsid w:val="73D425F7"/>
    <w:rsid w:val="73D6575A"/>
    <w:rsid w:val="73E636C1"/>
    <w:rsid w:val="74600E53"/>
    <w:rsid w:val="746A0CB1"/>
    <w:rsid w:val="74712AFB"/>
    <w:rsid w:val="74A31B48"/>
    <w:rsid w:val="74BC1C78"/>
    <w:rsid w:val="750A2023"/>
    <w:rsid w:val="75171C24"/>
    <w:rsid w:val="75486E94"/>
    <w:rsid w:val="758D04C2"/>
    <w:rsid w:val="759F24C9"/>
    <w:rsid w:val="75AD0CCB"/>
    <w:rsid w:val="75F020A1"/>
    <w:rsid w:val="7615032B"/>
    <w:rsid w:val="76655349"/>
    <w:rsid w:val="7676736A"/>
    <w:rsid w:val="768F29EE"/>
    <w:rsid w:val="76926203"/>
    <w:rsid w:val="76933951"/>
    <w:rsid w:val="771D661B"/>
    <w:rsid w:val="771F7714"/>
    <w:rsid w:val="77207795"/>
    <w:rsid w:val="773903BD"/>
    <w:rsid w:val="773F662A"/>
    <w:rsid w:val="77890DAA"/>
    <w:rsid w:val="77D835AD"/>
    <w:rsid w:val="77EE2F48"/>
    <w:rsid w:val="784E332E"/>
    <w:rsid w:val="78782A0D"/>
    <w:rsid w:val="78C57EA9"/>
    <w:rsid w:val="791A571A"/>
    <w:rsid w:val="79286132"/>
    <w:rsid w:val="797E392B"/>
    <w:rsid w:val="79A2171F"/>
    <w:rsid w:val="79A252FF"/>
    <w:rsid w:val="79D33056"/>
    <w:rsid w:val="79E119BE"/>
    <w:rsid w:val="79E65B55"/>
    <w:rsid w:val="7A0131C9"/>
    <w:rsid w:val="7A0E722C"/>
    <w:rsid w:val="7A124C14"/>
    <w:rsid w:val="7A475E69"/>
    <w:rsid w:val="7A810C37"/>
    <w:rsid w:val="7ABB10EE"/>
    <w:rsid w:val="7B105707"/>
    <w:rsid w:val="7B302E56"/>
    <w:rsid w:val="7B350C9D"/>
    <w:rsid w:val="7B7D36B3"/>
    <w:rsid w:val="7B9741C7"/>
    <w:rsid w:val="7BD27B88"/>
    <w:rsid w:val="7C26369C"/>
    <w:rsid w:val="7C311CA7"/>
    <w:rsid w:val="7C3933DF"/>
    <w:rsid w:val="7C4A37AF"/>
    <w:rsid w:val="7C590E02"/>
    <w:rsid w:val="7C9E5A24"/>
    <w:rsid w:val="7CAC00CB"/>
    <w:rsid w:val="7CBE2557"/>
    <w:rsid w:val="7D022178"/>
    <w:rsid w:val="7D575412"/>
    <w:rsid w:val="7D62117D"/>
    <w:rsid w:val="7D7E5CB0"/>
    <w:rsid w:val="7D83197B"/>
    <w:rsid w:val="7DB3208B"/>
    <w:rsid w:val="7DB5193A"/>
    <w:rsid w:val="7DB54254"/>
    <w:rsid w:val="7E181D7D"/>
    <w:rsid w:val="7E3E1EF2"/>
    <w:rsid w:val="7E4B337A"/>
    <w:rsid w:val="7E5E744E"/>
    <w:rsid w:val="7E951513"/>
    <w:rsid w:val="7EA96AC5"/>
    <w:rsid w:val="7EB06086"/>
    <w:rsid w:val="7EC118B4"/>
    <w:rsid w:val="7EC83404"/>
    <w:rsid w:val="7EF74FC9"/>
    <w:rsid w:val="7F3745CA"/>
    <w:rsid w:val="7F5A59DA"/>
    <w:rsid w:val="7F653669"/>
    <w:rsid w:val="7F750737"/>
    <w:rsid w:val="7F846976"/>
    <w:rsid w:val="7FA01201"/>
    <w:rsid w:val="7FB901DB"/>
    <w:rsid w:val="7FBB72CB"/>
    <w:rsid w:val="7FE11C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5F8F730-23BC-448C-BFAE-16B72DFF3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nhideWhenUsed="1" w:qFormat="1"/>
    <w:lsdException w:name="toc 3"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unhideWhenUsed="1" w:qFormat="1"/>
    <w:lsdException w:name="index heading" w:semiHidden="1" w:unhideWhenUsed="1"/>
    <w:lsdException w:name="caption" w:semiHidden="1" w:unhideWhenUsed="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lsdException w:name="HTML Sample" w:semiHidden="1" w:unhideWhenUsed="1" w:qFormat="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Lines="50" w:before="50" w:afterLines="50" w:after="50"/>
      <w:jc w:val="both"/>
    </w:pPr>
    <w:rPr>
      <w:kern w:val="2"/>
      <w:sz w:val="21"/>
    </w:rPr>
  </w:style>
  <w:style w:type="paragraph" w:styleId="1">
    <w:name w:val="heading 1"/>
    <w:basedOn w:val="a"/>
    <w:next w:val="a"/>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qFormat/>
    <w:pPr>
      <w:numPr>
        <w:ilvl w:val="1"/>
      </w:numPr>
      <w:pBdr>
        <w:top w:val="none" w:sz="0" w:space="0" w:color="auto"/>
      </w:pBdr>
      <w:spacing w:before="180"/>
      <w:ind w:rightChars="100" w:right="100"/>
      <w:outlineLvl w:val="1"/>
    </w:pPr>
    <w:rPr>
      <w:sz w:val="28"/>
    </w:rPr>
  </w:style>
  <w:style w:type="paragraph" w:styleId="3">
    <w:name w:val="heading 3"/>
    <w:basedOn w:val="2"/>
    <w:next w:val="a"/>
    <w:qFormat/>
    <w:pPr>
      <w:numPr>
        <w:ilvl w:val="2"/>
      </w:numPr>
      <w:spacing w:before="12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semiHidden/>
    <w:qFormat/>
  </w:style>
  <w:style w:type="paragraph" w:styleId="a4">
    <w:name w:val="Body Text"/>
    <w:basedOn w:val="a"/>
    <w:qFormat/>
  </w:style>
  <w:style w:type="paragraph" w:styleId="30">
    <w:name w:val="toc 3"/>
    <w:basedOn w:val="a"/>
    <w:next w:val="a"/>
    <w:uiPriority w:val="99"/>
    <w:unhideWhenUsed/>
    <w:qFormat/>
    <w:pPr>
      <w:adjustRightInd w:val="0"/>
      <w:ind w:leftChars="400" w:left="1282" w:hangingChars="200" w:hanging="442"/>
    </w:pPr>
    <w:rPr>
      <w:b/>
      <w:i/>
      <w:sz w:val="20"/>
    </w:rPr>
  </w:style>
  <w:style w:type="paragraph" w:styleId="a5">
    <w:name w:val="Balloon Text"/>
    <w:basedOn w:val="a"/>
    <w:link w:val="Char0"/>
    <w:uiPriority w:val="99"/>
    <w:semiHidden/>
    <w:unhideWhenUsed/>
    <w:qFormat/>
    <w:pPr>
      <w:spacing w:before="0" w:after="0" w:line="240" w:lineRule="auto"/>
    </w:pPr>
    <w:rPr>
      <w:rFonts w:ascii="Microsoft YaHei UI" w:eastAsia="Microsoft YaHei UI"/>
      <w:sz w:val="18"/>
      <w:szCs w:val="18"/>
    </w:rPr>
  </w:style>
  <w:style w:type="paragraph" w:styleId="a6">
    <w:name w:val="footer"/>
    <w:basedOn w:val="a"/>
    <w:uiPriority w:val="99"/>
    <w:unhideWhenUsed/>
    <w:qFormat/>
    <w:pPr>
      <w:tabs>
        <w:tab w:val="center" w:pos="4153"/>
        <w:tab w:val="right" w:pos="8306"/>
      </w:tabs>
      <w:snapToGrid w:val="0"/>
      <w:jc w:val="left"/>
    </w:pPr>
    <w:rPr>
      <w:sz w:val="18"/>
      <w:szCs w:val="18"/>
    </w:rPr>
  </w:style>
  <w:style w:type="paragraph" w:styleId="a7">
    <w:name w:val="header"/>
    <w:basedOn w:val="a"/>
    <w:link w:val="Char1"/>
    <w:semiHidden/>
    <w:qFormat/>
    <w:pPr>
      <w:tabs>
        <w:tab w:val="center" w:pos="4680"/>
        <w:tab w:val="right" w:pos="9360"/>
      </w:tabs>
      <w:spacing w:before="0" w:after="0" w:line="240" w:lineRule="auto"/>
    </w:pPr>
  </w:style>
  <w:style w:type="paragraph" w:styleId="10">
    <w:name w:val="toc 1"/>
    <w:basedOn w:val="a"/>
    <w:next w:val="a"/>
    <w:uiPriority w:val="39"/>
    <w:unhideWhenUsed/>
    <w:qFormat/>
    <w:pPr>
      <w:tabs>
        <w:tab w:val="decimal" w:pos="0"/>
        <w:tab w:val="right" w:pos="9660"/>
      </w:tabs>
      <w:ind w:rightChars="200" w:right="420"/>
      <w:jc w:val="left"/>
    </w:pPr>
    <w:rPr>
      <w:rFonts w:eastAsiaTheme="minorEastAsia"/>
      <w:b/>
      <w:bCs/>
      <w:i/>
      <w:iCs/>
      <w:sz w:val="20"/>
    </w:rPr>
  </w:style>
  <w:style w:type="paragraph" w:styleId="a8">
    <w:name w:val="List"/>
    <w:basedOn w:val="a"/>
    <w:qFormat/>
    <w:pPr>
      <w:ind w:left="568" w:hanging="284"/>
    </w:pPr>
  </w:style>
  <w:style w:type="paragraph" w:styleId="a9">
    <w:name w:val="table of figures"/>
    <w:basedOn w:val="a"/>
    <w:next w:val="a"/>
    <w:uiPriority w:val="99"/>
    <w:semiHidden/>
    <w:unhideWhenUsed/>
    <w:qFormat/>
    <w:pPr>
      <w:ind w:leftChars="200" w:left="200" w:hangingChars="200" w:hanging="200"/>
    </w:pPr>
  </w:style>
  <w:style w:type="paragraph" w:styleId="20">
    <w:name w:val="toc 2"/>
    <w:basedOn w:val="a"/>
    <w:next w:val="a"/>
    <w:uiPriority w:val="99"/>
    <w:semiHidden/>
    <w:unhideWhenUsed/>
    <w:qFormat/>
    <w:pPr>
      <w:tabs>
        <w:tab w:val="right" w:pos="420"/>
      </w:tabs>
      <w:ind w:leftChars="200" w:left="862" w:hangingChars="200" w:hanging="442"/>
      <w:jc w:val="left"/>
    </w:pPr>
    <w:rPr>
      <w:b/>
      <w:i/>
      <w:sz w:val="20"/>
    </w:rPr>
  </w:style>
  <w:style w:type="paragraph" w:styleId="aa">
    <w:name w:val="Normal (Web)"/>
    <w:basedOn w:val="a"/>
    <w:uiPriority w:val="99"/>
    <w:unhideWhenUsed/>
    <w:qFormat/>
    <w:pPr>
      <w:spacing w:after="0"/>
      <w:jc w:val="left"/>
    </w:pPr>
    <w:rPr>
      <w:rFonts w:ascii="宋体" w:hAnsi="宋体" w:cs="宋体"/>
      <w:sz w:val="24"/>
      <w:szCs w:val="24"/>
    </w:rPr>
  </w:style>
  <w:style w:type="paragraph" w:styleId="ab">
    <w:name w:val="annotation subject"/>
    <w:basedOn w:val="a3"/>
    <w:next w:val="a3"/>
    <w:link w:val="Char2"/>
    <w:uiPriority w:val="99"/>
    <w:semiHidden/>
    <w:unhideWhenUsed/>
    <w:qFormat/>
    <w:pPr>
      <w:spacing w:line="240" w:lineRule="auto"/>
    </w:pPr>
    <w:rPr>
      <w:b/>
      <w:bCs/>
      <w:sz w:val="20"/>
    </w:rPr>
  </w:style>
  <w:style w:type="table" w:styleId="ac">
    <w:name w:val="Table Grid"/>
    <w:basedOn w:val="a1"/>
    <w:uiPriority w:val="9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basedOn w:val="a0"/>
    <w:uiPriority w:val="99"/>
    <w:qFormat/>
    <w:rPr>
      <w:b/>
      <w:sz w:val="20"/>
      <w:szCs w:val="20"/>
      <w:shd w:val="clear" w:color="auto" w:fill="00A65A"/>
    </w:rPr>
  </w:style>
  <w:style w:type="character" w:styleId="ae">
    <w:name w:val="FollowedHyperlink"/>
    <w:basedOn w:val="a0"/>
    <w:uiPriority w:val="99"/>
    <w:semiHidden/>
    <w:unhideWhenUsed/>
    <w:qFormat/>
    <w:rPr>
      <w:color w:val="409EFF"/>
      <w:u w:val="none"/>
    </w:rPr>
  </w:style>
  <w:style w:type="character" w:styleId="HTML">
    <w:name w:val="HTML Definition"/>
    <w:basedOn w:val="a0"/>
    <w:uiPriority w:val="99"/>
    <w:semiHidden/>
    <w:unhideWhenUsed/>
    <w:qFormat/>
    <w:rPr>
      <w:i/>
      <w:shd w:val="clear" w:color="auto" w:fill="FFFFFF"/>
    </w:rPr>
  </w:style>
  <w:style w:type="character" w:styleId="af">
    <w:name w:val="Hyperlink"/>
    <w:basedOn w:val="a0"/>
    <w:uiPriority w:val="99"/>
    <w:unhideWhenUsed/>
    <w:qFormat/>
    <w:rPr>
      <w:color w:val="409EFF"/>
      <w:u w:val="none"/>
    </w:rPr>
  </w:style>
  <w:style w:type="character" w:styleId="HTML0">
    <w:name w:val="HTML Code"/>
    <w:basedOn w:val="a0"/>
    <w:uiPriority w:val="99"/>
    <w:semiHidden/>
    <w:unhideWhenUsed/>
    <w:qFormat/>
    <w:rPr>
      <w:rFonts w:ascii="Consolas" w:eastAsia="Consolas" w:hAnsi="Consolas" w:cs="Consolas" w:hint="default"/>
      <w:color w:val="C7254E"/>
      <w:sz w:val="21"/>
      <w:szCs w:val="21"/>
      <w:shd w:val="clear" w:color="auto" w:fill="F9F2F4"/>
    </w:rPr>
  </w:style>
  <w:style w:type="character" w:styleId="af0">
    <w:name w:val="annotation reference"/>
    <w:basedOn w:val="a0"/>
    <w:uiPriority w:val="99"/>
    <w:semiHidden/>
    <w:unhideWhenUsed/>
    <w:qFormat/>
    <w:rPr>
      <w:sz w:val="16"/>
      <w:szCs w:val="16"/>
    </w:rPr>
  </w:style>
  <w:style w:type="character" w:styleId="HTML1">
    <w:name w:val="HTML Keyboard"/>
    <w:basedOn w:val="a0"/>
    <w:uiPriority w:val="99"/>
    <w:semiHidden/>
    <w:unhideWhenUsed/>
    <w:qFormat/>
    <w:rPr>
      <w:rFonts w:ascii="Consolas" w:eastAsia="Consolas" w:hAnsi="Consolas" w:cs="Consolas"/>
      <w:color w:val="FFFFFF"/>
      <w:sz w:val="21"/>
      <w:szCs w:val="21"/>
      <w:shd w:val="clear" w:color="auto" w:fill="333333"/>
    </w:rPr>
  </w:style>
  <w:style w:type="character" w:styleId="HTML2">
    <w:name w:val="HTML Sample"/>
    <w:basedOn w:val="a0"/>
    <w:uiPriority w:val="99"/>
    <w:semiHidden/>
    <w:unhideWhenUsed/>
    <w:qFormat/>
    <w:rPr>
      <w:rFonts w:ascii="Consolas" w:eastAsia="Consolas" w:hAnsi="Consolas" w:cs="Consolas" w:hint="default"/>
      <w:sz w:val="21"/>
      <w:szCs w:val="21"/>
    </w:rPr>
  </w:style>
  <w:style w:type="paragraph" w:customStyle="1" w:styleId="YJ-Observation">
    <w:name w:val="YJ-Observation"/>
    <w:basedOn w:val="YJ-Proposal"/>
    <w:qFormat/>
    <w:pPr>
      <w:numPr>
        <w:numId w:val="2"/>
      </w:numPr>
      <w:tabs>
        <w:tab w:val="left" w:pos="420"/>
      </w:tabs>
    </w:pPr>
  </w:style>
  <w:style w:type="paragraph" w:customStyle="1" w:styleId="YJ-Proposal">
    <w:name w:val="YJ-Proposal"/>
    <w:basedOn w:val="a"/>
    <w:qFormat/>
    <w:pPr>
      <w:numPr>
        <w:numId w:val="3"/>
      </w:numPr>
      <w:jc w:val="left"/>
    </w:pPr>
    <w:rPr>
      <w:rFonts w:eastAsiaTheme="minorEastAsia"/>
      <w:b/>
      <w:bCs/>
      <w:i/>
      <w:iCs/>
      <w:sz w:val="20"/>
      <w:lang w:val="en-GB" w:eastAsia="en-US"/>
    </w:rPr>
  </w:style>
  <w:style w:type="paragraph" w:customStyle="1" w:styleId="sub-proposal">
    <w:name w:val="sub-proposal"/>
    <w:basedOn w:val="YJ-Proposal"/>
    <w:next w:val="a"/>
    <w:qFormat/>
    <w:pPr>
      <w:numPr>
        <w:numId w:val="4"/>
      </w:numPr>
      <w:tabs>
        <w:tab w:val="left" w:pos="807"/>
      </w:tabs>
      <w:ind w:leftChars="200" w:left="862" w:hangingChars="200" w:hanging="442"/>
    </w:pPr>
  </w:style>
  <w:style w:type="paragraph" w:customStyle="1" w:styleId="sub-observation">
    <w:name w:val="sub-observation"/>
    <w:basedOn w:val="sub-proposal"/>
    <w:next w:val="a"/>
    <w:qFormat/>
  </w:style>
  <w:style w:type="paragraph" w:customStyle="1" w:styleId="3rdlevelproposal">
    <w:name w:val="3rd level proposal"/>
    <w:basedOn w:val="sub-proposal"/>
    <w:next w:val="a"/>
    <w:qFormat/>
    <w:pPr>
      <w:numPr>
        <w:numId w:val="5"/>
      </w:numPr>
      <w:ind w:leftChars="400" w:left="1282" w:hanging="442"/>
    </w:pPr>
  </w:style>
  <w:style w:type="paragraph" w:customStyle="1" w:styleId="3rdlevelobservation">
    <w:name w:val="3rd level observation"/>
    <w:basedOn w:val="sub-observation"/>
    <w:qFormat/>
    <w:pPr>
      <w:numPr>
        <w:numId w:val="6"/>
      </w:numPr>
      <w:ind w:leftChars="400" w:left="1282" w:hanging="442"/>
    </w:pPr>
  </w:style>
  <w:style w:type="paragraph" w:customStyle="1" w:styleId="References">
    <w:name w:val="References"/>
    <w:basedOn w:val="a"/>
    <w:qFormat/>
    <w:pPr>
      <w:numPr>
        <w:numId w:val="7"/>
      </w:numPr>
      <w:spacing w:after="60"/>
    </w:pPr>
    <w:rPr>
      <w:szCs w:val="16"/>
    </w:rPr>
  </w:style>
  <w:style w:type="paragraph" w:styleId="af1">
    <w:name w:val="List Paragraph"/>
    <w:basedOn w:val="a"/>
    <w:uiPriority w:val="34"/>
    <w:qFormat/>
    <w:pPr>
      <w:spacing w:beforeLines="0" w:after="0" w:line="240" w:lineRule="auto"/>
      <w:ind w:left="720"/>
      <w:contextualSpacing/>
    </w:pPr>
    <w:rPr>
      <w:rFonts w:eastAsia="Times New Roman"/>
      <w:sz w:val="24"/>
      <w:szCs w:val="24"/>
    </w:rPr>
  </w:style>
  <w:style w:type="paragraph" w:customStyle="1" w:styleId="11">
    <w:name w:val="样式1"/>
    <w:basedOn w:val="a"/>
    <w:qFormat/>
  </w:style>
  <w:style w:type="paragraph" w:customStyle="1" w:styleId="21">
    <w:name w:val="样式2"/>
    <w:basedOn w:val="a"/>
    <w:qFormat/>
  </w:style>
  <w:style w:type="character" w:customStyle="1" w:styleId="apple-converted-space">
    <w:name w:val="apple-converted-space"/>
    <w:basedOn w:val="a0"/>
    <w:qFormat/>
  </w:style>
  <w:style w:type="character" w:customStyle="1" w:styleId="Char0">
    <w:name w:val="批注框文本 Char"/>
    <w:basedOn w:val="a0"/>
    <w:link w:val="a5"/>
    <w:uiPriority w:val="99"/>
    <w:semiHidden/>
    <w:qFormat/>
    <w:rPr>
      <w:rFonts w:ascii="Microsoft YaHei UI" w:eastAsia="Microsoft YaHei UI"/>
      <w:kern w:val="2"/>
      <w:sz w:val="18"/>
      <w:szCs w:val="18"/>
    </w:rPr>
  </w:style>
  <w:style w:type="character" w:customStyle="1" w:styleId="Char">
    <w:name w:val="批注文字 Char"/>
    <w:basedOn w:val="a0"/>
    <w:link w:val="a3"/>
    <w:semiHidden/>
    <w:qFormat/>
    <w:rPr>
      <w:kern w:val="2"/>
      <w:sz w:val="21"/>
    </w:rPr>
  </w:style>
  <w:style w:type="character" w:customStyle="1" w:styleId="Char2">
    <w:name w:val="批注主题 Char"/>
    <w:basedOn w:val="Char"/>
    <w:link w:val="ab"/>
    <w:uiPriority w:val="99"/>
    <w:semiHidden/>
    <w:qFormat/>
    <w:rPr>
      <w:b/>
      <w:bCs/>
      <w:kern w:val="2"/>
      <w:sz w:val="21"/>
    </w:rPr>
  </w:style>
  <w:style w:type="character" w:customStyle="1" w:styleId="Char1">
    <w:name w:val="页眉 Char"/>
    <w:basedOn w:val="a0"/>
    <w:link w:val="a7"/>
    <w:semiHidden/>
    <w:qFormat/>
    <w:rPr>
      <w:kern w:val="2"/>
      <w:sz w:val="21"/>
    </w:rPr>
  </w:style>
  <w:style w:type="character" w:customStyle="1" w:styleId="badge58">
    <w:name w:val="badge58"/>
    <w:basedOn w:val="a0"/>
    <w:qFormat/>
    <w:rPr>
      <w:b/>
      <w:color w:val="FFFFFF"/>
      <w:sz w:val="24"/>
      <w:szCs w:val="24"/>
      <w:shd w:val="clear" w:color="auto" w:fill="001F3F"/>
    </w:rPr>
  </w:style>
  <w:style w:type="character" w:customStyle="1" w:styleId="hover16">
    <w:name w:val="hover16"/>
    <w:basedOn w:val="a0"/>
    <w:qFormat/>
    <w:rPr>
      <w:shd w:val="clear" w:color="auto" w:fill="EEEEEE"/>
    </w:rPr>
  </w:style>
  <w:style w:type="character" w:customStyle="1" w:styleId="active3">
    <w:name w:val="active3"/>
    <w:basedOn w:val="a0"/>
    <w:qFormat/>
    <w:rPr>
      <w:color w:val="FFFFFF"/>
      <w:shd w:val="clear" w:color="auto" w:fill="006DCC"/>
    </w:rPr>
  </w:style>
  <w:style w:type="character" w:customStyle="1" w:styleId="old">
    <w:name w:val="old"/>
    <w:basedOn w:val="a0"/>
    <w:qFormat/>
    <w:rPr>
      <w:color w:val="999999"/>
    </w:rPr>
  </w:style>
  <w:style w:type="character" w:customStyle="1" w:styleId="via1">
    <w:name w:val="via1"/>
    <w:basedOn w:val="a0"/>
    <w:qFormat/>
    <w:rPr>
      <w:color w:val="959595"/>
    </w:rPr>
  </w:style>
  <w:style w:type="character" w:customStyle="1" w:styleId="keyword1">
    <w:name w:val="keyword1"/>
    <w:basedOn w:val="a0"/>
    <w:qFormat/>
  </w:style>
  <w:style w:type="character" w:customStyle="1" w:styleId="badge57">
    <w:name w:val="badge57"/>
    <w:basedOn w:val="a0"/>
    <w:qFormat/>
    <w:rPr>
      <w:b/>
      <w:color w:val="FFFFFF"/>
      <w:sz w:val="24"/>
      <w:szCs w:val="24"/>
      <w:shd w:val="clear" w:color="auto" w:fill="001F3F"/>
    </w:rPr>
  </w:style>
  <w:style w:type="character" w:customStyle="1" w:styleId="active1">
    <w:name w:val="active1"/>
    <w:basedOn w:val="a0"/>
    <w:qFormat/>
    <w:rPr>
      <w:color w:val="FFFFFF"/>
      <w:shd w:val="clear" w:color="auto" w:fill="006DCC"/>
    </w:rPr>
  </w:style>
  <w:style w:type="character" w:customStyle="1" w:styleId="badge56">
    <w:name w:val="badge56"/>
    <w:basedOn w:val="a0"/>
    <w:qFormat/>
    <w:rPr>
      <w:b/>
      <w:color w:val="FFFFFF"/>
      <w:sz w:val="24"/>
      <w:szCs w:val="24"/>
      <w:shd w:val="clear" w:color="auto" w:fill="001F3F"/>
    </w:rPr>
  </w:style>
  <w:style w:type="character" w:customStyle="1" w:styleId="hover14">
    <w:name w:val="hover14"/>
    <w:basedOn w:val="a0"/>
    <w:qFormat/>
    <w:rPr>
      <w:shd w:val="clear" w:color="auto" w:fill="EEEEEE"/>
    </w:rPr>
  </w:style>
  <w:style w:type="paragraph" w:customStyle="1" w:styleId="12">
    <w:name w:val="修订1"/>
    <w:hidden/>
    <w:uiPriority w:val="99"/>
    <w:semiHidden/>
    <w:qFormat/>
    <w:pPr>
      <w:spacing w:after="0" w:line="240" w:lineRule="auto"/>
    </w:pPr>
    <w:rPr>
      <w:kern w:val="2"/>
      <w:sz w:val="21"/>
    </w:rPr>
  </w:style>
  <w:style w:type="character" w:customStyle="1" w:styleId="hover15">
    <w:name w:val="hover15"/>
    <w:basedOn w:val="a0"/>
    <w:qFormat/>
    <w:rPr>
      <w:shd w:val="clear" w:color="auto" w:fill="EEEEEE"/>
    </w:rPr>
  </w:style>
  <w:style w:type="paragraph" w:customStyle="1" w:styleId="Default">
    <w:name w:val="Default"/>
    <w:uiPriority w:val="99"/>
    <w:unhideWhenUsed/>
    <w:qFormat/>
    <w:pPr>
      <w:widowControl w:val="0"/>
      <w:autoSpaceDE w:val="0"/>
      <w:autoSpaceDN w:val="0"/>
      <w:adjustRightInd w:val="0"/>
    </w:pPr>
    <w:rPr>
      <w:rFonts w:eastAsia="Times New Roman" w:hint="eastAsia"/>
      <w:color w:val="000000"/>
      <w:sz w:val="24"/>
    </w:rPr>
  </w:style>
  <w:style w:type="character" w:customStyle="1" w:styleId="hover">
    <w:name w:val="hover"/>
    <w:basedOn w:val="a0"/>
    <w:qFormat/>
    <w:rPr>
      <w:shd w:val="clear" w:color="auto" w:fill="EEEEEE"/>
    </w:rPr>
  </w:style>
  <w:style w:type="paragraph" w:customStyle="1" w:styleId="TAL">
    <w:name w:val="TAL"/>
    <w:basedOn w:val="a"/>
    <w:qFormat/>
    <w:pPr>
      <w:keepNext/>
      <w:keepLines/>
      <w:spacing w:after="0"/>
    </w:pPr>
    <w:rPr>
      <w:rFonts w:ascii="Arial" w:hAnsi="Arial"/>
      <w:sz w:val="18"/>
    </w:rPr>
  </w:style>
  <w:style w:type="character" w:customStyle="1" w:styleId="badge55">
    <w:name w:val="badge55"/>
    <w:basedOn w:val="a0"/>
    <w:qFormat/>
    <w:rPr>
      <w:b/>
      <w:color w:val="FFFFFF"/>
      <w:sz w:val="24"/>
      <w:szCs w:val="24"/>
      <w:shd w:val="clear" w:color="auto" w:fill="001F3F"/>
    </w:rPr>
  </w:style>
  <w:style w:type="character" w:customStyle="1" w:styleId="active">
    <w:name w:val="active"/>
    <w:basedOn w:val="a0"/>
    <w:qFormat/>
    <w:rPr>
      <w:color w:val="FFFFFF"/>
      <w:shd w:val="clear" w:color="auto" w:fill="006DCC"/>
    </w:rPr>
  </w:style>
  <w:style w:type="character" w:customStyle="1" w:styleId="badge">
    <w:name w:val="badge"/>
    <w:basedOn w:val="a0"/>
    <w:qFormat/>
    <w:rPr>
      <w:b/>
      <w:color w:val="FFFFFF"/>
      <w:sz w:val="24"/>
      <w:szCs w:val="24"/>
      <w:shd w:val="clear" w:color="auto" w:fill="001F3F"/>
    </w:rPr>
  </w:style>
  <w:style w:type="paragraph" w:customStyle="1" w:styleId="B1">
    <w:name w:val="B1"/>
    <w:basedOn w:val="a8"/>
    <w:qFormat/>
  </w:style>
  <w:style w:type="paragraph" w:customStyle="1" w:styleId="ListParagraph1">
    <w:name w:val="List Paragraph1"/>
    <w:basedOn w:val="a"/>
    <w:qFormat/>
    <w:pPr>
      <w:spacing w:beforeLines="0" w:before="100" w:beforeAutospacing="1" w:afterLines="0" w:after="100" w:afterAutospacing="1" w:line="240" w:lineRule="auto"/>
      <w:ind w:left="720"/>
      <w:jc w:val="left"/>
    </w:pPr>
    <w:rPr>
      <w:rFonts w:eastAsia="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504DBB3-400D-4FD6-8C89-0FE62434A2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7</Pages>
  <Words>2299</Words>
  <Characters>13109</Characters>
  <Application>Microsoft Office Word</Application>
  <DocSecurity>0</DocSecurity>
  <Lines>109</Lines>
  <Paragraphs>30</Paragraphs>
  <ScaleCrop>false</ScaleCrop>
  <Company/>
  <LinksUpToDate>false</LinksUpToDate>
  <CharactersWithSpaces>15378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150</cp:revision>
  <dcterms:created xsi:type="dcterms:W3CDTF">2019-04-08T03:09:00Z</dcterms:created>
  <dcterms:modified xsi:type="dcterms:W3CDTF">2021-09-06T20:53:00Z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